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Kaimai Presbytery</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policy on payment of interim Moderators, Superintendent Moderators, and convenors and Presbytery representatives on Ministry settlement boards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Introduction</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policy combines into a single policy statement the previous policy statements on these matters dated 9 December 2016 and 13 February 2020.</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 also now includes some advice on contractual relationships for non-parish ministers and the tax implications in response to actual situations that have arisen in applying the policy.</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2016 Policy Statement</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change to the way congregations in Kaimai Presbytery operate during “vacancies” was approved at the Kaimai Presbytery Council’s September 2016 meeting.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change provided for payment from 1 January 2017 to people appointed as an Interim Moderator (IM), Superintendent Moderator (SM), or Convenor of a Ministry Settlement Board (MSB).</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rationale for this change was given as follows.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113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decades past, when one congregation released some of their minister’s paid time to another, whether as an Interim Moderator or a Board of Nomination Chair, it was with the knowledge that the new minister would in turn act in the same way for another congregation – the cost of these roles was in this way spread fairly equitably around the church. That is no longer necessarily true. Some congregations may not be able to provide those services to another, and some congregations will not have a “full time minister” in the foreseeable future. The cost has gotten out of balance. Some congregations end up subsidising others, while some Moderators and MSB convenors are giving their time without recompense.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2019 Policy Statement</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 its meeting on 28 November 2019, the Kaimai Presbytery Council amended the 2016 policy with effect from 1 July 2020 to include limited reimbursement of expenses incurred by other Presbytery representatives on MSBs.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Restatement of Policy</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following is a current restatement of the payment and reimbursement regime under the 2016 and 2019 policy statements. It replaces those arrangements from 4 March 2021.</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Payment for IM, SM, MSB Convenor appointments </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an IM, SM or MSB Convenor is appointed for a congregation, that congregation will pay for their services, including travel time, at the hourly rate specified in the Schedule and will also reimburse for related travel at the rate per km specified in the Schedule and for all direct expenses (e. g., telephone calls), as provided in clause 9 or 10. GST may be charged where applicable (e.g., in situations covered by clause 9).</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hourly rate and the rate per km will be revised on 1 July each year and the rates in the Schedule amended, as necessary. The hourly rate will be increased in line with the percentage increase applied to stipends on that date. The rate per km will be the rate determined by Kaimai Presbytery as applicable from that date.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Ministers called or appointed to a congregation either full-time or, if part-time, where being an IM, SM or MSB Convenor is considered an integral part of the call or appointment</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congregation that receives the benefit will pay the congregation that provides the IM, SM or MSB Convenor. The receiving congregation is not to pay the IM, SM or MSB Convenor directly. The IM, SM or MSB Convenor will be reimbursed for their travel and expenses by the providing congregation.</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IM, SM or MSB Convenor is to submit details of hours worked in the role, a log of related travel, and any related expense statements to their treasurer. The treasurer is to submit an invoice covering these matters to the treasurer of the receiving congregation for payment. GST will be added to the charge for hours worked.</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providing congregation’s treasurer will reimburse the IM, SM or MSB Convenor in the usual manner for related expenses and for travel undertaken in their role at the rate per km applicable to other travel in their work. This is not conditional on payment being received from the receiving congregation.</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church council of the providing congregation may agree to offer the ministry as a time gift to the receiving congregation, in which case the IM, SM or MSB Convenor may inform the receiving congregation of this.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Other part-time ministers and all others, clergy or lay</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Payment is made direct to the IM, SM or MSB Convenor.</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IM, SM or MSB Convenor should prepare an invoice covering time spent in the role, reimbursement for kilometres travelled, and a claim for other related expenses supported by receipts and submit it to the treasurer of the receiving congregation.</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Some who are providing these services may not want to be paid, and they may inform the receiving congregation of this.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Contractual and tax implications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 IM, SM or MSB Convenor who falls within clause 9 is providing their services to the receiving congregation in fulfilment of their terms of call or, if in a Cooperative Venture, of their letter of appointment. There is an expectation in either case that they will have some involvement at Presbytery level because of being called or appointed to ministry in the providing congregation. There are unlikely to be any additional tax implications merely from taking on the role of an IM, SM or MSB Convenor.</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situation with an IM, SM or MSB Convenor who falls within clause 10, however, is different. There is more than one form that the contractual arrangements can take, so it is important for the IM, SM or MSB Convenor to clarify what form will apply at the outset because the tax implications differ with each.</w:t>
      </w:r>
    </w:p>
    <w:p w:rsidR="00000000" w:rsidDel="00000000" w:rsidP="00000000" w:rsidRDefault="00000000" w:rsidRPr="00000000" w14:paraId="000000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800" w:right="0" w:hanging="18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Although there is no providing congregation, unlike with, e.g., an IM covered by clause 9, they do not thereby automatically become an ‘employee’ of the receiving congregation. For this to occur, there would need to be a clear understanding to this effect between them and the receiving congregation AND strictly speaking there would need to be a signed written employment agreement. From the Presbytery’s perspective, the relationship of an IM, SM or MSB Convenor to the receiving congregation is ill-suited to being treated as an employment relationship on account of its oversight role and ensuing responsibilities to the Presbytery. (These responsibilities do not, however, make the IM, SM or MSB Convenor an employee of the Presbytery.)</w:t>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800" w:right="0" w:hanging="18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better view is that they are a self-employed contractor for tax purposes. As such, they are liable for both income tax and ACC levies on the payments made to them by the receiving congregation. From a tax perspective it is potentially beneficial to be paid as a contractor because this entitles them to claim some expenses against their income, which effectively reduces their taxable income and therefore any tax owed.</w:t>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800" w:right="0" w:hanging="18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some cases, the treasurer of the receiving congregation might set up the IM, SM or MSB Convenor through the congregation’s payroll as a contractor, treating the payments made to them as schedular payments and deducting withholding tax. They will be credited with these payments against tax on the income received but, notwithstanding this, they may still receive an invoice from ACC for ACC levies on the income because no ACC is deducted from schedular payments.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Reimbursement for other Presbytery representatives on MSBs</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Presbytery representatives on MSBs (other than the Convenor) will be reimbursed for using their vehicle on MSB business by the receiving congregation at the rate per km specified in the Schedule. This reimbursement will be made either direct to the Presbytery representative or, in circumstances where their travel is covered by their congregation, to that congregation.</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They will also be reimbursed direct by the receiving congregation, on production of receipts, for any direct travel expenses if they use public transport.</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policy was last updated on </w:t>
      </w:r>
      <w:r w:rsidDel="00000000" w:rsidR="00000000" w:rsidRPr="00000000">
        <w:rPr>
          <w:rtl w:val="0"/>
        </w:rPr>
        <w:t xml:space="preserve">1 July 2025</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Schedule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Hourly Rate</w:t>
      </w:r>
    </w:p>
    <w:p w:rsidR="00000000" w:rsidDel="00000000" w:rsidP="00000000" w:rsidRDefault="00000000" w:rsidRPr="00000000" w14:paraId="00000027">
      <w:pPr>
        <w:spacing w:after="120" w:before="240" w:line="276" w:lineRule="auto"/>
        <w:jc w:val="both"/>
        <w:rPr/>
      </w:pPr>
      <w:r w:rsidDel="00000000" w:rsidR="00000000" w:rsidRPr="00000000">
        <w:rPr>
          <w:rtl w:val="0"/>
        </w:rPr>
        <w:t xml:space="preserve">The hourly rate from the 1st of July 2025 is $35.90.</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Travel Reimbursement Rate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from 1 July 202</w:t>
      </w:r>
      <w:r w:rsidDel="00000000" w:rsidR="00000000" w:rsidRPr="00000000">
        <w:rPr>
          <w:rtl w:val="0"/>
        </w:rPr>
        <w:t xml:space="preserve">5,</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travel using a private vehicle will be reimbursed at the rate applicable under the PCANZ travel reimbursement scale included in the Conditions of Service Manual. </w:t>
      </w:r>
      <w:r w:rsidDel="00000000" w:rsidR="00000000" w:rsidRPr="00000000">
        <w:rPr>
          <w:rtl w:val="0"/>
        </w:rPr>
      </w:r>
    </w:p>
    <w:p w:rsidR="00000000" w:rsidDel="00000000" w:rsidP="00000000" w:rsidRDefault="00000000" w:rsidRPr="00000000" w14:paraId="0000002A">
      <w:pPr>
        <w:spacing w:after="120" w:before="240" w:line="240" w:lineRule="auto"/>
        <w:rPr>
          <w:b w:val="1"/>
        </w:rPr>
      </w:pPr>
      <w:r w:rsidDel="00000000" w:rsidR="00000000" w:rsidRPr="00000000">
        <w:rPr>
          <w:b w:val="1"/>
          <w:rtl w:val="0"/>
        </w:rPr>
        <w:t xml:space="preserve">Vehicle </w:t>
        <w:tab/>
        <w:tab/>
        <w:t xml:space="preserve">Type Tier One Rates</w:t>
        <w:tab/>
        <w:tab/>
        <w:t xml:space="preserve"> Tier Two Rates</w:t>
      </w:r>
    </w:p>
    <w:p w:rsidR="00000000" w:rsidDel="00000000" w:rsidP="00000000" w:rsidRDefault="00000000" w:rsidRPr="00000000" w14:paraId="0000002B">
      <w:pPr>
        <w:spacing w:after="120" w:before="240" w:line="240" w:lineRule="auto"/>
        <w:rPr/>
      </w:pPr>
      <w:r w:rsidDel="00000000" w:rsidR="00000000" w:rsidRPr="00000000">
        <w:rPr>
          <w:b w:val="1"/>
          <w:rtl w:val="0"/>
        </w:rPr>
        <w:t xml:space="preserve">Petrol </w:t>
        <w:tab/>
        <w:tab/>
        <w:tab/>
      </w:r>
      <w:r w:rsidDel="00000000" w:rsidR="00000000" w:rsidRPr="00000000">
        <w:rPr>
          <w:rtl w:val="0"/>
        </w:rPr>
        <w:t xml:space="preserve">$1.17 </w:t>
        <w:tab/>
        <w:tab/>
        <w:tab/>
        <w:tab/>
        <w:t xml:space="preserve">  $0.37</w:t>
      </w:r>
    </w:p>
    <w:p w:rsidR="00000000" w:rsidDel="00000000" w:rsidP="00000000" w:rsidRDefault="00000000" w:rsidRPr="00000000" w14:paraId="0000002C">
      <w:pPr>
        <w:spacing w:after="120" w:before="240" w:line="240" w:lineRule="auto"/>
        <w:rPr/>
      </w:pPr>
      <w:r w:rsidDel="00000000" w:rsidR="00000000" w:rsidRPr="00000000">
        <w:rPr>
          <w:b w:val="1"/>
          <w:rtl w:val="0"/>
        </w:rPr>
        <w:t xml:space="preserve">Diesel</w:t>
      </w:r>
      <w:r w:rsidDel="00000000" w:rsidR="00000000" w:rsidRPr="00000000">
        <w:rPr>
          <w:rtl w:val="0"/>
        </w:rPr>
        <w:t xml:space="preserve"> </w:t>
        <w:tab/>
        <w:tab/>
        <w:tab/>
        <w:t xml:space="preserve">$1.26</w:t>
        <w:tab/>
        <w:tab/>
        <w:tab/>
        <w:tab/>
        <w:t xml:space="preserve">  $0.35</w:t>
      </w:r>
    </w:p>
    <w:p w:rsidR="00000000" w:rsidDel="00000000" w:rsidP="00000000" w:rsidRDefault="00000000" w:rsidRPr="00000000" w14:paraId="0000002D">
      <w:pPr>
        <w:spacing w:after="120" w:before="240" w:line="240" w:lineRule="auto"/>
        <w:rPr/>
      </w:pPr>
      <w:r w:rsidDel="00000000" w:rsidR="00000000" w:rsidRPr="00000000">
        <w:rPr>
          <w:b w:val="1"/>
          <w:rtl w:val="0"/>
        </w:rPr>
        <w:t xml:space="preserve">Petrol Hybrid </w:t>
        <w:tab/>
        <w:tab/>
      </w:r>
      <w:r w:rsidDel="00000000" w:rsidR="00000000" w:rsidRPr="00000000">
        <w:rPr>
          <w:rtl w:val="0"/>
        </w:rPr>
        <w:t xml:space="preserve">$0.86 </w:t>
        <w:tab/>
        <w:tab/>
        <w:tab/>
        <w:tab/>
        <w:t xml:space="preserve">  $0.21</w:t>
      </w:r>
    </w:p>
    <w:p w:rsidR="00000000" w:rsidDel="00000000" w:rsidP="00000000" w:rsidRDefault="00000000" w:rsidRPr="00000000" w14:paraId="0000002E">
      <w:pPr>
        <w:spacing w:after="120" w:before="240" w:line="240" w:lineRule="auto"/>
        <w:rPr/>
      </w:pPr>
      <w:r w:rsidDel="00000000" w:rsidR="00000000" w:rsidRPr="00000000">
        <w:rPr>
          <w:b w:val="1"/>
          <w:rtl w:val="0"/>
        </w:rPr>
        <w:t xml:space="preserve">Electric</w:t>
      </w:r>
      <w:r w:rsidDel="00000000" w:rsidR="00000000" w:rsidRPr="00000000">
        <w:rPr>
          <w:rtl w:val="0"/>
        </w:rPr>
        <w:t xml:space="preserve"> </w:t>
        <w:tab/>
        <w:tab/>
        <w:t xml:space="preserve">$1.08</w:t>
        <w:tab/>
        <w:tab/>
        <w:tab/>
        <w:tab/>
        <w:t xml:space="preserve">  $0.19</w:t>
      </w:r>
    </w:p>
    <w:p w:rsidR="00000000" w:rsidDel="00000000" w:rsidP="00000000" w:rsidRDefault="00000000" w:rsidRPr="00000000" w14:paraId="0000002F">
      <w:pPr>
        <w:spacing w:after="120" w:before="240" w:line="240" w:lineRule="auto"/>
        <w:rPr>
          <w:b w:val="1"/>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pPr>
      <w:r w:rsidDel="00000000" w:rsidR="00000000" w:rsidRPr="00000000">
        <w:rPr>
          <w:rtl w:val="0"/>
        </w:rPr>
      </w:r>
    </w:p>
    <w:sectPr>
      <w:headerReference r:id="rId7" w:type="default"/>
      <w:footerReference r:id="rId8" w:type="default"/>
      <w:pgSz w:h="16838" w:w="11906" w:orient="portrait"/>
      <w:pgMar w:bottom="1418" w:top="1985" w:left="1701" w:right="1701" w:header="1134"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Updated schedule 1 July 202</w:t>
    </w:r>
    <w:r w:rsidDel="00000000" w:rsidR="00000000" w:rsidRPr="00000000">
      <w:rPr>
        <w:sz w:val="18"/>
        <w:szCs w:val="18"/>
        <w:rtl w:val="0"/>
      </w:rPr>
      <w:t xml:space="preserve">5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Version 1.1Page </w:t>
    </w:r>
    <w:r w:rsidDel="00000000" w:rsidR="00000000" w:rsidRPr="00000000">
      <w:rPr>
        <w:rFonts w:ascii="Arial" w:cs="Arial" w:eastAsia="Arial" w:hAnsi="Arial"/>
        <w:b w:val="1"/>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of </w:t>
    </w:r>
    <w:r w:rsidDel="00000000" w:rsidR="00000000" w:rsidRPr="00000000">
      <w:rPr>
        <w:rFonts w:ascii="Arial" w:cs="Arial" w:eastAsia="Arial" w:hAnsi="Arial"/>
        <w:b w:val="1"/>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tabs>
        <w:tab w:val="center" w:leader="none" w:pos="4513"/>
        <w:tab w:val="right" w:leader="none" w:pos="9026"/>
      </w:tabs>
      <w:spacing w:after="240" w:line="240" w:lineRule="auto"/>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b w:val="1"/>
        <w:smallCaps w:val="1"/>
        <w:sz w:val="24"/>
        <w:szCs w:val="24"/>
      </w:rPr>
      <w:drawing>
        <wp:inline distB="114300" distT="114300" distL="114300" distR="114300">
          <wp:extent cx="3422813" cy="843420"/>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22813" cy="84342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rsid w:val="00051569"/>
    <w:rPr>
      <w:rFonts w:ascii="Arial" w:hAnsi="Arial"/>
      <w:sz w:val="20"/>
      <w:szCs w:val="20"/>
    </w:rPr>
  </w:style>
  <w:style w:type="paragraph" w:styleId="Heading1">
    <w:name w:val="heading 1"/>
    <w:basedOn w:val="Normal"/>
    <w:next w:val="Normal"/>
    <w:link w:val="Heading1Char"/>
    <w:uiPriority w:val="9"/>
    <w:qFormat w:val="1"/>
    <w:rsid w:val="00D846D1"/>
    <w:pPr>
      <w:keepNext w:val="1"/>
      <w:keepLines w:val="1"/>
      <w:spacing w:after="0" w:before="240"/>
      <w:outlineLvl w:val="0"/>
    </w:pPr>
    <w:rPr>
      <w:rFonts w:asciiTheme="majorHAnsi" w:cstheme="majorBidi" w:eastAsiaTheme="majorEastAsia" w:hAnsiTheme="majorHAnsi"/>
      <w:color w:val="2f5496" w:themeColor="accent1" w:themeShade="0000BF"/>
      <w:sz w:val="32"/>
      <w:szCs w:val="40"/>
    </w:rPr>
  </w:style>
  <w:style w:type="paragraph" w:styleId="Heading3">
    <w:name w:val="heading 3"/>
    <w:basedOn w:val="Normal"/>
    <w:next w:val="Normal"/>
    <w:link w:val="Heading3Char"/>
    <w:uiPriority w:val="9"/>
    <w:semiHidden w:val="1"/>
    <w:unhideWhenUsed w:val="1"/>
    <w:qFormat w:val="1"/>
    <w:rsid w:val="00661404"/>
    <w:pPr>
      <w:keepNext w:val="1"/>
      <w:keepLines w:val="1"/>
      <w:spacing w:after="0" w:before="40"/>
      <w:outlineLvl w:val="2"/>
    </w:pPr>
    <w:rPr>
      <w:rFonts w:asciiTheme="majorHAnsi" w:cstheme="majorBidi" w:eastAsiaTheme="majorEastAsia" w:hAnsiTheme="majorHAnsi"/>
      <w:color w:val="1f3763" w:themeColor="accent1" w:themeShade="00007F"/>
      <w:sz w:val="24"/>
      <w:szCs w:val="3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A4Normal" w:customStyle="1">
    <w:name w:val="A4 Normal"/>
    <w:basedOn w:val="Normal"/>
    <w:link w:val="A4NormalChar"/>
    <w:qFormat w:val="1"/>
    <w:rsid w:val="00D846D1"/>
    <w:pPr>
      <w:spacing w:after="120" w:line="240" w:lineRule="auto"/>
      <w:jc w:val="both"/>
    </w:pPr>
  </w:style>
  <w:style w:type="character" w:styleId="A4NormalChar" w:customStyle="1">
    <w:name w:val="A4 Normal Char"/>
    <w:basedOn w:val="DefaultParagraphFont"/>
    <w:link w:val="A4Normal"/>
    <w:rsid w:val="00D846D1"/>
    <w:rPr>
      <w:rFonts w:ascii="Arial" w:hAnsi="Arial"/>
      <w:sz w:val="20"/>
      <w:szCs w:val="20"/>
    </w:rPr>
  </w:style>
  <w:style w:type="paragraph" w:styleId="NoSpacing">
    <w:name w:val="No Spacing"/>
    <w:link w:val="NoSpacingChar"/>
    <w:uiPriority w:val="1"/>
    <w:qFormat w:val="1"/>
    <w:rsid w:val="0023533C"/>
    <w:pPr>
      <w:spacing w:after="0" w:line="240" w:lineRule="auto"/>
    </w:pPr>
    <w:rPr>
      <w:rFonts w:ascii="Arial" w:hAnsi="Arial"/>
      <w:sz w:val="20"/>
      <w:szCs w:val="25"/>
    </w:rPr>
  </w:style>
  <w:style w:type="paragraph" w:styleId="A4NoSpacing" w:customStyle="1">
    <w:name w:val="A4 No Spacing"/>
    <w:basedOn w:val="NoSpacing"/>
    <w:link w:val="A4NoSpacingChar"/>
    <w:qFormat w:val="1"/>
    <w:rsid w:val="0023533C"/>
    <w:pPr>
      <w:jc w:val="both"/>
    </w:pPr>
  </w:style>
  <w:style w:type="character" w:styleId="Heading1Char" w:customStyle="1">
    <w:name w:val="Heading 1 Char"/>
    <w:basedOn w:val="DefaultParagraphFont"/>
    <w:link w:val="Heading1"/>
    <w:uiPriority w:val="9"/>
    <w:rsid w:val="00D846D1"/>
    <w:rPr>
      <w:rFonts w:asciiTheme="majorHAnsi" w:cstheme="majorBidi" w:eastAsiaTheme="majorEastAsia" w:hAnsiTheme="majorHAnsi"/>
      <w:color w:val="2f5496" w:themeColor="accent1" w:themeShade="0000BF"/>
      <w:sz w:val="32"/>
      <w:szCs w:val="40"/>
    </w:rPr>
  </w:style>
  <w:style w:type="character" w:styleId="NoSpacingChar" w:customStyle="1">
    <w:name w:val="No Spacing Char"/>
    <w:basedOn w:val="DefaultParagraphFont"/>
    <w:link w:val="NoSpacing"/>
    <w:uiPriority w:val="1"/>
    <w:rsid w:val="0023533C"/>
    <w:rPr>
      <w:rFonts w:ascii="Arial" w:hAnsi="Arial"/>
      <w:sz w:val="20"/>
      <w:szCs w:val="25"/>
    </w:rPr>
  </w:style>
  <w:style w:type="character" w:styleId="A4NoSpacingChar" w:customStyle="1">
    <w:name w:val="A4 No Spacing Char"/>
    <w:basedOn w:val="NoSpacingChar"/>
    <w:link w:val="A4NoSpacing"/>
    <w:rsid w:val="0023533C"/>
    <w:rPr>
      <w:rFonts w:ascii="Arial" w:hAnsi="Arial"/>
      <w:sz w:val="20"/>
      <w:szCs w:val="25"/>
    </w:rPr>
  </w:style>
  <w:style w:type="paragraph" w:styleId="A4Heading1" w:customStyle="1">
    <w:name w:val="A4 Heading 1"/>
    <w:basedOn w:val="A4Normal"/>
    <w:next w:val="A4Heading2"/>
    <w:link w:val="A4Heading1Char"/>
    <w:qFormat w:val="1"/>
    <w:rsid w:val="00D846D1"/>
    <w:pPr>
      <w:spacing w:after="240"/>
      <w:jc w:val="center"/>
      <w:outlineLvl w:val="0"/>
    </w:pPr>
    <w:rPr>
      <w:b w:val="1"/>
      <w:caps w:val="1"/>
      <w:sz w:val="24"/>
    </w:rPr>
  </w:style>
  <w:style w:type="paragraph" w:styleId="A4Heading2" w:customStyle="1">
    <w:name w:val="A4 Heading 2"/>
    <w:basedOn w:val="A4Normal"/>
    <w:next w:val="A4Heading3"/>
    <w:link w:val="A4Heading2Char"/>
    <w:qFormat w:val="1"/>
    <w:rsid w:val="00F2147B"/>
    <w:pPr>
      <w:spacing w:before="240"/>
      <w:jc w:val="center"/>
      <w:outlineLvl w:val="1"/>
    </w:pPr>
    <w:rPr>
      <w:b w:val="1"/>
    </w:rPr>
  </w:style>
  <w:style w:type="character" w:styleId="A4Heading1Char" w:customStyle="1">
    <w:name w:val="A4 Heading 1 Char"/>
    <w:basedOn w:val="A4NormalChar"/>
    <w:link w:val="A4Heading1"/>
    <w:rsid w:val="00D846D1"/>
    <w:rPr>
      <w:rFonts w:ascii="Arial" w:hAnsi="Arial"/>
      <w:b w:val="1"/>
      <w:caps w:val="1"/>
      <w:sz w:val="24"/>
      <w:szCs w:val="20"/>
    </w:rPr>
  </w:style>
  <w:style w:type="paragraph" w:styleId="A4Heading3" w:customStyle="1">
    <w:name w:val="A4 Heading 3"/>
    <w:basedOn w:val="A4Normal"/>
    <w:next w:val="A4Normal"/>
    <w:link w:val="A4Heading3Char"/>
    <w:qFormat w:val="1"/>
    <w:rsid w:val="00F2147B"/>
    <w:pPr>
      <w:spacing w:before="240"/>
      <w:outlineLvl w:val="2"/>
    </w:pPr>
    <w:rPr>
      <w:b w:val="1"/>
    </w:rPr>
  </w:style>
  <w:style w:type="character" w:styleId="A4Heading2Char" w:customStyle="1">
    <w:name w:val="A4 Heading 2 Char"/>
    <w:basedOn w:val="A4NormalChar"/>
    <w:link w:val="A4Heading2"/>
    <w:rsid w:val="00F2147B"/>
    <w:rPr>
      <w:rFonts w:ascii="Arial" w:hAnsi="Arial"/>
      <w:b w:val="1"/>
      <w:sz w:val="20"/>
      <w:szCs w:val="20"/>
    </w:rPr>
  </w:style>
  <w:style w:type="paragraph" w:styleId="A4Heading4" w:customStyle="1">
    <w:name w:val="A4 Heading 4"/>
    <w:basedOn w:val="A4Normal"/>
    <w:next w:val="A4Normal"/>
    <w:link w:val="A4Heading4Char"/>
    <w:qFormat w:val="1"/>
    <w:rsid w:val="00F2147B"/>
    <w:pPr>
      <w:spacing w:before="240"/>
      <w:outlineLvl w:val="3"/>
    </w:pPr>
    <w:rPr>
      <w:i w:val="1"/>
    </w:rPr>
  </w:style>
  <w:style w:type="character" w:styleId="A4Heading3Char" w:customStyle="1">
    <w:name w:val="A4 Heading 3 Char"/>
    <w:basedOn w:val="A4NormalChar"/>
    <w:link w:val="A4Heading3"/>
    <w:rsid w:val="00F2147B"/>
    <w:rPr>
      <w:rFonts w:ascii="Arial" w:hAnsi="Arial"/>
      <w:b w:val="1"/>
      <w:sz w:val="20"/>
      <w:szCs w:val="20"/>
    </w:rPr>
  </w:style>
  <w:style w:type="paragraph" w:styleId="Title">
    <w:name w:val="Title"/>
    <w:basedOn w:val="Normal"/>
    <w:next w:val="Normal"/>
    <w:link w:val="TitleChar"/>
    <w:uiPriority w:val="10"/>
    <w:qFormat w:val="1"/>
    <w:rsid w:val="00F232C1"/>
    <w:pPr>
      <w:spacing w:after="0" w:line="240" w:lineRule="auto"/>
      <w:contextualSpacing w:val="1"/>
    </w:pPr>
    <w:rPr>
      <w:rFonts w:asciiTheme="majorHAnsi" w:cstheme="majorBidi" w:eastAsiaTheme="majorEastAsia" w:hAnsiTheme="majorHAnsi"/>
      <w:spacing w:val="-10"/>
      <w:kern w:val="28"/>
      <w:sz w:val="56"/>
      <w:szCs w:val="71"/>
    </w:rPr>
  </w:style>
  <w:style w:type="character" w:styleId="A4Heading4Char" w:customStyle="1">
    <w:name w:val="A4 Heading 4 Char"/>
    <w:basedOn w:val="A4NormalChar"/>
    <w:link w:val="A4Heading4"/>
    <w:rsid w:val="00F2147B"/>
    <w:rPr>
      <w:rFonts w:ascii="Arial" w:hAnsi="Arial"/>
      <w:i w:val="1"/>
      <w:sz w:val="20"/>
      <w:szCs w:val="20"/>
    </w:rPr>
  </w:style>
  <w:style w:type="character" w:styleId="TitleChar" w:customStyle="1">
    <w:name w:val="Title Char"/>
    <w:basedOn w:val="DefaultParagraphFont"/>
    <w:link w:val="Title"/>
    <w:uiPriority w:val="10"/>
    <w:rsid w:val="00F232C1"/>
    <w:rPr>
      <w:rFonts w:asciiTheme="majorHAnsi" w:cstheme="majorBidi" w:eastAsiaTheme="majorEastAsia" w:hAnsiTheme="majorHAnsi"/>
      <w:spacing w:val="-10"/>
      <w:kern w:val="28"/>
      <w:sz w:val="56"/>
      <w:szCs w:val="71"/>
    </w:rPr>
  </w:style>
  <w:style w:type="character" w:styleId="Emphasis">
    <w:name w:val="Emphasis"/>
    <w:basedOn w:val="DefaultParagraphFont"/>
    <w:uiPriority w:val="20"/>
    <w:qFormat w:val="1"/>
    <w:rsid w:val="00F232C1"/>
    <w:rPr>
      <w:i w:val="1"/>
      <w:iCs w:val="1"/>
    </w:rPr>
  </w:style>
  <w:style w:type="character" w:styleId="A4Emphasis" w:customStyle="1">
    <w:name w:val="A4 Emphasis"/>
    <w:basedOn w:val="Emphasis"/>
    <w:uiPriority w:val="1"/>
    <w:qFormat w:val="1"/>
    <w:rsid w:val="00F232C1"/>
    <w:rPr>
      <w:rFonts w:ascii="Arial" w:hAnsi="Arial"/>
      <w:i w:val="1"/>
      <w:iCs w:val="1"/>
      <w:sz w:val="20"/>
      <w:lang w:val="en-NZ"/>
    </w:rPr>
  </w:style>
  <w:style w:type="character" w:styleId="Strong">
    <w:name w:val="Strong"/>
    <w:basedOn w:val="DefaultParagraphFont"/>
    <w:uiPriority w:val="22"/>
    <w:qFormat w:val="1"/>
    <w:rsid w:val="00CA5A60"/>
    <w:rPr>
      <w:b w:val="1"/>
      <w:bCs w:val="1"/>
    </w:rPr>
  </w:style>
  <w:style w:type="character" w:styleId="A4Strong" w:customStyle="1">
    <w:name w:val="A4 Strong"/>
    <w:basedOn w:val="Strong"/>
    <w:uiPriority w:val="1"/>
    <w:qFormat w:val="1"/>
    <w:rsid w:val="00CA5A60"/>
    <w:rPr>
      <w:rFonts w:ascii="Arial" w:hAnsi="Arial"/>
      <w:b w:val="1"/>
      <w:bCs w:val="1"/>
      <w:i w:val="0"/>
      <w:lang w:val="en-NZ"/>
    </w:rPr>
  </w:style>
  <w:style w:type="paragraph" w:styleId="A4Quote" w:customStyle="1">
    <w:name w:val="A4 Quote"/>
    <w:basedOn w:val="A4Normal"/>
    <w:next w:val="A4Normal"/>
    <w:link w:val="A4QuoteChar"/>
    <w:qFormat w:val="1"/>
    <w:rsid w:val="00CA5A60"/>
    <w:pPr>
      <w:spacing w:before="120"/>
      <w:ind w:left="1134" w:right="1134"/>
    </w:pPr>
  </w:style>
  <w:style w:type="paragraph" w:styleId="A4BulletList" w:customStyle="1">
    <w:name w:val="A4 Bullet List"/>
    <w:basedOn w:val="A4Normal"/>
    <w:link w:val="A4BulletListChar"/>
    <w:qFormat w:val="1"/>
    <w:rsid w:val="00FC025B"/>
    <w:pPr>
      <w:numPr>
        <w:numId w:val="1"/>
      </w:numPr>
      <w:ind w:left="924" w:hanging="567"/>
      <w:contextualSpacing w:val="1"/>
    </w:pPr>
  </w:style>
  <w:style w:type="character" w:styleId="A4QuoteChar" w:customStyle="1">
    <w:name w:val="A4 Quote Char"/>
    <w:basedOn w:val="A4NormalChar"/>
    <w:link w:val="A4Quote"/>
    <w:rsid w:val="00CA5A60"/>
    <w:rPr>
      <w:rFonts w:ascii="Arial" w:hAnsi="Arial"/>
      <w:sz w:val="20"/>
      <w:szCs w:val="20"/>
    </w:rPr>
  </w:style>
  <w:style w:type="paragraph" w:styleId="A4NumberedList" w:customStyle="1">
    <w:name w:val="A4 Numbered List"/>
    <w:basedOn w:val="A4Normal"/>
    <w:link w:val="A4NumberedListChar"/>
    <w:qFormat w:val="1"/>
    <w:rsid w:val="00661404"/>
    <w:pPr>
      <w:numPr>
        <w:numId w:val="2"/>
      </w:numPr>
      <w:ind w:left="357" w:hanging="357"/>
      <w:contextualSpacing w:val="1"/>
    </w:pPr>
  </w:style>
  <w:style w:type="character" w:styleId="A4BulletListChar" w:customStyle="1">
    <w:name w:val="A4 Bullet List Char"/>
    <w:basedOn w:val="A4NormalChar"/>
    <w:link w:val="A4BulletList"/>
    <w:rsid w:val="00FC025B"/>
    <w:rPr>
      <w:rFonts w:ascii="Arial" w:hAnsi="Arial"/>
      <w:sz w:val="20"/>
      <w:szCs w:val="20"/>
    </w:rPr>
  </w:style>
  <w:style w:type="paragraph" w:styleId="A4NormalNumbered" w:customStyle="1">
    <w:name w:val="A4 Normal Numbered"/>
    <w:basedOn w:val="A4Normal"/>
    <w:link w:val="A4NormalNumberedChar"/>
    <w:qFormat w:val="1"/>
    <w:rsid w:val="00FB2197"/>
    <w:pPr>
      <w:numPr>
        <w:numId w:val="7"/>
      </w:numPr>
    </w:pPr>
    <w:rPr>
      <w:lang w:val="en-GB"/>
    </w:rPr>
  </w:style>
  <w:style w:type="character" w:styleId="A4NumberedListChar" w:customStyle="1">
    <w:name w:val="A4 Numbered List Char"/>
    <w:basedOn w:val="A4NormalChar"/>
    <w:link w:val="A4NumberedList"/>
    <w:rsid w:val="00661404"/>
    <w:rPr>
      <w:rFonts w:ascii="Arial" w:hAnsi="Arial"/>
      <w:sz w:val="20"/>
      <w:szCs w:val="20"/>
    </w:rPr>
  </w:style>
  <w:style w:type="paragraph" w:styleId="Header">
    <w:name w:val="header"/>
    <w:basedOn w:val="Normal"/>
    <w:link w:val="HeaderChar"/>
    <w:uiPriority w:val="99"/>
    <w:unhideWhenUsed w:val="1"/>
    <w:rsid w:val="00B96513"/>
    <w:pPr>
      <w:tabs>
        <w:tab w:val="center" w:pos="4513"/>
        <w:tab w:val="right" w:pos="9026"/>
      </w:tabs>
      <w:spacing w:after="0" w:line="240" w:lineRule="auto"/>
    </w:pPr>
    <w:rPr>
      <w:szCs w:val="25"/>
    </w:rPr>
  </w:style>
  <w:style w:type="character" w:styleId="A4NormalNumberedChar" w:customStyle="1">
    <w:name w:val="A4 Normal Numbered Char"/>
    <w:basedOn w:val="A4NormalChar"/>
    <w:link w:val="A4NormalNumbered"/>
    <w:rsid w:val="00FB2197"/>
    <w:rPr>
      <w:rFonts w:ascii="Arial" w:hAnsi="Arial"/>
      <w:sz w:val="20"/>
      <w:szCs w:val="20"/>
      <w:lang w:val="en-GB"/>
    </w:rPr>
  </w:style>
  <w:style w:type="character" w:styleId="HeaderChar" w:customStyle="1">
    <w:name w:val="Header Char"/>
    <w:basedOn w:val="DefaultParagraphFont"/>
    <w:link w:val="Header"/>
    <w:uiPriority w:val="99"/>
    <w:rsid w:val="00B96513"/>
    <w:rPr>
      <w:rFonts w:ascii="Arial" w:hAnsi="Arial"/>
      <w:sz w:val="20"/>
      <w:szCs w:val="25"/>
    </w:rPr>
  </w:style>
  <w:style w:type="paragraph" w:styleId="Footer">
    <w:name w:val="footer"/>
    <w:basedOn w:val="Normal"/>
    <w:link w:val="FooterChar"/>
    <w:uiPriority w:val="99"/>
    <w:unhideWhenUsed w:val="1"/>
    <w:rsid w:val="00B96513"/>
    <w:pPr>
      <w:tabs>
        <w:tab w:val="center" w:pos="4513"/>
        <w:tab w:val="right" w:pos="9026"/>
      </w:tabs>
      <w:spacing w:after="0" w:line="240" w:lineRule="auto"/>
    </w:pPr>
    <w:rPr>
      <w:szCs w:val="25"/>
    </w:rPr>
  </w:style>
  <w:style w:type="character" w:styleId="FooterChar" w:customStyle="1">
    <w:name w:val="Footer Char"/>
    <w:basedOn w:val="DefaultParagraphFont"/>
    <w:link w:val="Footer"/>
    <w:uiPriority w:val="99"/>
    <w:rsid w:val="00B96513"/>
    <w:rPr>
      <w:rFonts w:ascii="Arial" w:hAnsi="Arial"/>
      <w:sz w:val="20"/>
      <w:szCs w:val="25"/>
    </w:rPr>
  </w:style>
  <w:style w:type="paragraph" w:styleId="FootnoteText">
    <w:name w:val="footnote text"/>
    <w:basedOn w:val="Normal"/>
    <w:link w:val="FootnoteTextChar"/>
    <w:uiPriority w:val="99"/>
    <w:semiHidden w:val="1"/>
    <w:unhideWhenUsed w:val="1"/>
    <w:rsid w:val="00B96513"/>
    <w:pPr>
      <w:spacing w:after="0" w:line="240" w:lineRule="auto"/>
    </w:pPr>
    <w:rPr>
      <w:szCs w:val="25"/>
    </w:rPr>
  </w:style>
  <w:style w:type="character" w:styleId="FootnoteTextChar" w:customStyle="1">
    <w:name w:val="Footnote Text Char"/>
    <w:basedOn w:val="DefaultParagraphFont"/>
    <w:link w:val="FootnoteText"/>
    <w:uiPriority w:val="99"/>
    <w:semiHidden w:val="1"/>
    <w:rsid w:val="00B96513"/>
    <w:rPr>
      <w:rFonts w:ascii="Arial" w:hAnsi="Arial"/>
      <w:sz w:val="20"/>
      <w:szCs w:val="25"/>
    </w:rPr>
  </w:style>
  <w:style w:type="character" w:styleId="FootnoteReference">
    <w:name w:val="footnote reference"/>
    <w:basedOn w:val="DefaultParagraphFont"/>
    <w:uiPriority w:val="99"/>
    <w:semiHidden w:val="1"/>
    <w:unhideWhenUsed w:val="1"/>
    <w:rsid w:val="00B96513"/>
    <w:rPr>
      <w:vertAlign w:val="superscript"/>
    </w:rPr>
  </w:style>
  <w:style w:type="paragraph" w:styleId="A4Footnote" w:customStyle="1">
    <w:name w:val="A4 Footnote"/>
    <w:basedOn w:val="A4Normal"/>
    <w:link w:val="A4FootnoteChar"/>
    <w:rsid w:val="00211817"/>
    <w:pPr>
      <w:spacing w:after="0"/>
    </w:pPr>
    <w:rPr>
      <w:sz w:val="18"/>
      <w:szCs w:val="18"/>
    </w:rPr>
  </w:style>
  <w:style w:type="character" w:styleId="A4FootnoteFont" w:customStyle="1">
    <w:name w:val="A4 Footnote Font"/>
    <w:basedOn w:val="A4FootnoteChar"/>
    <w:uiPriority w:val="1"/>
    <w:qFormat w:val="1"/>
    <w:rsid w:val="00FC025B"/>
    <w:rPr>
      <w:rFonts w:ascii="Arial" w:hAnsi="Arial"/>
      <w:sz w:val="18"/>
      <w:szCs w:val="18"/>
    </w:rPr>
  </w:style>
  <w:style w:type="character" w:styleId="A4FootnoteChar" w:customStyle="1">
    <w:name w:val="A4 Footnote Char"/>
    <w:basedOn w:val="A4NormalChar"/>
    <w:link w:val="A4Footnote"/>
    <w:rsid w:val="00211817"/>
    <w:rPr>
      <w:rFonts w:ascii="Arial" w:hAnsi="Arial"/>
      <w:sz w:val="18"/>
      <w:szCs w:val="18"/>
    </w:rPr>
  </w:style>
  <w:style w:type="numbering" w:styleId="111111">
    <w:name w:val="Outline List 2"/>
    <w:basedOn w:val="NoList"/>
    <w:uiPriority w:val="99"/>
    <w:semiHidden w:val="1"/>
    <w:unhideWhenUsed w:val="1"/>
    <w:rsid w:val="00B96513"/>
    <w:pPr>
      <w:numPr>
        <w:numId w:val="6"/>
      </w:numPr>
    </w:pPr>
  </w:style>
  <w:style w:type="paragraph" w:styleId="A4FootnoteText" w:customStyle="1">
    <w:name w:val="A4 Footnote Text"/>
    <w:basedOn w:val="FootnoteText"/>
    <w:link w:val="A4FootnoteTextChar"/>
    <w:qFormat w:val="1"/>
    <w:rsid w:val="00E3766A"/>
    <w:pPr>
      <w:spacing w:after="240"/>
      <w:jc w:val="both"/>
    </w:pPr>
    <w:rPr>
      <w:sz w:val="18"/>
      <w:szCs w:val="18"/>
    </w:rPr>
  </w:style>
  <w:style w:type="character" w:styleId="A4FootnoteTextChar" w:customStyle="1">
    <w:name w:val="A4 Footnote Text Char"/>
    <w:basedOn w:val="FootnoteTextChar"/>
    <w:link w:val="A4FootnoteText"/>
    <w:rsid w:val="00E3766A"/>
    <w:rPr>
      <w:rFonts w:ascii="Arial" w:hAnsi="Arial"/>
      <w:sz w:val="18"/>
      <w:szCs w:val="18"/>
    </w:rPr>
  </w:style>
  <w:style w:type="character" w:styleId="Heading3Char" w:customStyle="1">
    <w:name w:val="Heading 3 Char"/>
    <w:basedOn w:val="DefaultParagraphFont"/>
    <w:link w:val="Heading3"/>
    <w:uiPriority w:val="9"/>
    <w:semiHidden w:val="1"/>
    <w:rsid w:val="00661404"/>
    <w:rPr>
      <w:rFonts w:asciiTheme="majorHAnsi" w:cstheme="majorBidi" w:eastAsiaTheme="majorEastAsia" w:hAnsiTheme="majorHAnsi"/>
      <w:color w:val="1f3763" w:themeColor="accent1" w:themeShade="00007F"/>
      <w:sz w:val="24"/>
      <w:szCs w:val="30"/>
    </w:rPr>
  </w:style>
  <w:style w:type="paragraph" w:styleId="ListParagraph">
    <w:name w:val="List Paragraph"/>
    <w:basedOn w:val="Normal"/>
    <w:uiPriority w:val="34"/>
    <w:qFormat w:val="1"/>
    <w:rsid w:val="00661404"/>
    <w:pPr>
      <w:ind w:left="720"/>
      <w:contextualSpacing w:val="1"/>
    </w:pPr>
    <w:rPr>
      <w:rFonts w:ascii="Calibri" w:cs="Times New Roman" w:eastAsia="Calibri" w:hAnsi="Calibri"/>
      <w:color w:val="000000" w:themeColor="text1"/>
      <w:szCs w:val="22"/>
      <w:lang w:bidi="ar-SA"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M/hGOGXwOHXrf8KBC1INuvS3Og==">CgMxLjA4AHIhMXV0N05sQWFweVVqUGtGcGJXa0phU1p1VlNiNGtkVzJT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2023-08-02T02:14:00Z</dcterms:created>
  <dc:creator>Ron Convenor</dc:creator>
</cp:coreProperties>
</file>