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Kaimai Presbytery</w:t>
      </w:r>
    </w:p>
    <w:p w:rsidR="00000000" w:rsidDel="00000000" w:rsidP="00000000" w:rsidRDefault="00000000" w:rsidRPr="00000000" w14:paraId="00000002">
      <w:pPr>
        <w:pStyle w:val="Heading1"/>
        <w:rPr/>
      </w:pPr>
      <w:r w:rsidDel="00000000" w:rsidR="00000000" w:rsidRPr="00000000">
        <w:rPr>
          <w:rtl w:val="0"/>
        </w:rPr>
        <w:t xml:space="preserve">TRAVEL REIMBURSEMENT POLICY</w:t>
      </w:r>
    </w:p>
    <w:p w:rsidR="00000000" w:rsidDel="00000000" w:rsidP="00000000" w:rsidRDefault="00000000" w:rsidRPr="00000000" w14:paraId="00000003">
      <w:pPr>
        <w:rPr/>
      </w:pPr>
      <w:r w:rsidDel="00000000" w:rsidR="00000000" w:rsidRPr="00000000">
        <w:rPr>
          <w:rtl w:val="0"/>
        </w:rPr>
      </w:r>
    </w:p>
    <w:tbl>
      <w:tblPr>
        <w:tblStyle w:val="Table1"/>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2835"/>
        <w:gridCol w:w="2835"/>
        <w:tblGridChange w:id="0">
          <w:tblGrid>
            <w:gridCol w:w="2835"/>
            <w:gridCol w:w="2835"/>
            <w:gridCol w:w="2835"/>
          </w:tblGrid>
        </w:tblGridChange>
      </w:tblGrid>
      <w:tr>
        <w:trPr>
          <w:cantSplit w:val="0"/>
          <w:tblHeader w:val="0"/>
        </w:trPr>
        <w:tc>
          <w:tcPr/>
          <w:p w:rsidR="00000000" w:rsidDel="00000000" w:rsidP="00000000" w:rsidRDefault="00000000" w:rsidRPr="00000000" w14:paraId="00000004">
            <w:pPr>
              <w:jc w:val="left"/>
              <w:rPr>
                <w:b w:val="1"/>
              </w:rPr>
            </w:pPr>
            <w:r w:rsidDel="00000000" w:rsidR="00000000" w:rsidRPr="00000000">
              <w:rPr>
                <w:b w:val="1"/>
                <w:rtl w:val="0"/>
              </w:rPr>
              <w:t xml:space="preserve">Position</w:t>
            </w:r>
          </w:p>
        </w:tc>
        <w:tc>
          <w:tcPr/>
          <w:p w:rsidR="00000000" w:rsidDel="00000000" w:rsidP="00000000" w:rsidRDefault="00000000" w:rsidRPr="00000000" w14:paraId="00000005">
            <w:pPr>
              <w:jc w:val="left"/>
              <w:rPr>
                <w:b w:val="1"/>
              </w:rPr>
            </w:pPr>
            <w:r w:rsidDel="00000000" w:rsidR="00000000" w:rsidRPr="00000000">
              <w:rPr>
                <w:b w:val="1"/>
                <w:rtl w:val="0"/>
              </w:rPr>
              <w:t xml:space="preserve">Reason for Travel</w:t>
            </w:r>
          </w:p>
        </w:tc>
        <w:tc>
          <w:tcPr/>
          <w:p w:rsidR="00000000" w:rsidDel="00000000" w:rsidP="00000000" w:rsidRDefault="00000000" w:rsidRPr="00000000" w14:paraId="00000006">
            <w:pPr>
              <w:jc w:val="left"/>
              <w:rPr>
                <w:b w:val="1"/>
              </w:rPr>
            </w:pPr>
            <w:r w:rsidDel="00000000" w:rsidR="00000000" w:rsidRPr="00000000">
              <w:rPr>
                <w:b w:val="1"/>
                <w:rtl w:val="0"/>
              </w:rPr>
              <w:t xml:space="preserve">Who Should Reimburse?</w:t>
            </w:r>
          </w:p>
        </w:tc>
      </w:tr>
      <w:tr>
        <w:trPr>
          <w:cantSplit w:val="0"/>
          <w:tblHeader w:val="0"/>
        </w:trPr>
        <w:tc>
          <w:tcPr/>
          <w:p w:rsidR="00000000" w:rsidDel="00000000" w:rsidP="00000000" w:rsidRDefault="00000000" w:rsidRPr="00000000" w14:paraId="00000007">
            <w:pPr>
              <w:jc w:val="left"/>
              <w:rPr/>
            </w:pPr>
            <w:r w:rsidDel="00000000" w:rsidR="00000000" w:rsidRPr="00000000">
              <w:rPr>
                <w:rtl w:val="0"/>
              </w:rPr>
              <w:t xml:space="preserve">Moderator</w:t>
            </w:r>
          </w:p>
        </w:tc>
        <w:tc>
          <w:tcPr/>
          <w:p w:rsidR="00000000" w:rsidDel="00000000" w:rsidP="00000000" w:rsidRDefault="00000000" w:rsidRPr="00000000" w14:paraId="00000008">
            <w:pPr>
              <w:jc w:val="left"/>
              <w:rPr/>
            </w:pPr>
            <w:r w:rsidDel="00000000" w:rsidR="00000000" w:rsidRPr="00000000">
              <w:rPr>
                <w:rtl w:val="0"/>
              </w:rPr>
              <w:t xml:space="preserve">Presbytery meetings</w:t>
            </w:r>
          </w:p>
        </w:tc>
        <w:tc>
          <w:tcPr/>
          <w:p w:rsidR="00000000" w:rsidDel="00000000" w:rsidP="00000000" w:rsidRDefault="00000000" w:rsidRPr="00000000" w14:paraId="00000009">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0A">
            <w:pPr>
              <w:jc w:val="left"/>
              <w:rPr/>
            </w:pPr>
            <w:r w:rsidDel="00000000" w:rsidR="00000000" w:rsidRPr="00000000">
              <w:rPr>
                <w:rtl w:val="0"/>
              </w:rPr>
              <w:t xml:space="preserve">Moderator</w:t>
            </w:r>
          </w:p>
        </w:tc>
        <w:tc>
          <w:tcPr/>
          <w:p w:rsidR="00000000" w:rsidDel="00000000" w:rsidP="00000000" w:rsidRDefault="00000000" w:rsidRPr="00000000" w14:paraId="0000000B">
            <w:pPr>
              <w:jc w:val="left"/>
              <w:rPr/>
            </w:pPr>
            <w:r w:rsidDel="00000000" w:rsidR="00000000" w:rsidRPr="00000000">
              <w:rPr>
                <w:rtl w:val="0"/>
              </w:rPr>
              <w:t xml:space="preserve">Presbytery visits &amp; business, e.g., inductions</w:t>
            </w:r>
          </w:p>
        </w:tc>
        <w:tc>
          <w:tcPr/>
          <w:p w:rsidR="00000000" w:rsidDel="00000000" w:rsidP="00000000" w:rsidRDefault="00000000" w:rsidRPr="00000000" w14:paraId="0000000C">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0D">
            <w:pPr>
              <w:jc w:val="left"/>
              <w:rPr/>
            </w:pPr>
            <w:r w:rsidDel="00000000" w:rsidR="00000000" w:rsidRPr="00000000">
              <w:rPr>
                <w:rtl w:val="0"/>
              </w:rPr>
              <w:t xml:space="preserve">Convenor</w:t>
            </w:r>
          </w:p>
        </w:tc>
        <w:tc>
          <w:tcPr/>
          <w:p w:rsidR="00000000" w:rsidDel="00000000" w:rsidP="00000000" w:rsidRDefault="00000000" w:rsidRPr="00000000" w14:paraId="0000000E">
            <w:pPr>
              <w:jc w:val="left"/>
              <w:rPr/>
            </w:pPr>
            <w:r w:rsidDel="00000000" w:rsidR="00000000" w:rsidRPr="00000000">
              <w:rPr>
                <w:rtl w:val="0"/>
              </w:rPr>
              <w:t xml:space="preserve">Presbytery meetings &amp; business</w:t>
            </w:r>
          </w:p>
        </w:tc>
        <w:tc>
          <w:tcPr/>
          <w:p w:rsidR="00000000" w:rsidDel="00000000" w:rsidP="00000000" w:rsidRDefault="00000000" w:rsidRPr="00000000" w14:paraId="0000000F">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10">
            <w:pPr>
              <w:jc w:val="left"/>
              <w:rPr/>
            </w:pPr>
            <w:r w:rsidDel="00000000" w:rsidR="00000000" w:rsidRPr="00000000">
              <w:rPr>
                <w:rtl w:val="0"/>
              </w:rPr>
              <w:t xml:space="preserve">Administrator</w:t>
            </w:r>
          </w:p>
        </w:tc>
        <w:tc>
          <w:tcPr/>
          <w:p w:rsidR="00000000" w:rsidDel="00000000" w:rsidP="00000000" w:rsidRDefault="00000000" w:rsidRPr="00000000" w14:paraId="00000011">
            <w:pPr>
              <w:jc w:val="left"/>
              <w:rPr/>
            </w:pPr>
            <w:r w:rsidDel="00000000" w:rsidR="00000000" w:rsidRPr="00000000">
              <w:rPr>
                <w:rtl w:val="0"/>
              </w:rPr>
              <w:t xml:space="preserve">Presbytery meetings &amp; business</w:t>
            </w:r>
          </w:p>
        </w:tc>
        <w:tc>
          <w:tcPr/>
          <w:p w:rsidR="00000000" w:rsidDel="00000000" w:rsidP="00000000" w:rsidRDefault="00000000" w:rsidRPr="00000000" w14:paraId="00000012">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13">
            <w:pPr>
              <w:jc w:val="left"/>
              <w:rPr/>
            </w:pPr>
            <w:r w:rsidDel="00000000" w:rsidR="00000000" w:rsidRPr="00000000">
              <w:rPr>
                <w:rtl w:val="0"/>
              </w:rPr>
              <w:t xml:space="preserve">Members of Council (Ministers)</w:t>
            </w:r>
          </w:p>
        </w:tc>
        <w:tc>
          <w:tcPr/>
          <w:p w:rsidR="00000000" w:rsidDel="00000000" w:rsidP="00000000" w:rsidRDefault="00000000" w:rsidRPr="00000000" w14:paraId="00000014">
            <w:pPr>
              <w:jc w:val="left"/>
              <w:rPr/>
            </w:pPr>
            <w:r w:rsidDel="00000000" w:rsidR="00000000" w:rsidRPr="00000000">
              <w:rPr>
                <w:rtl w:val="0"/>
              </w:rPr>
              <w:t xml:space="preserve">Presbytery meetings &amp; business</w:t>
            </w:r>
          </w:p>
        </w:tc>
        <w:tc>
          <w:tcPr/>
          <w:p w:rsidR="00000000" w:rsidDel="00000000" w:rsidP="00000000" w:rsidRDefault="00000000" w:rsidRPr="00000000" w14:paraId="00000015">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16">
            <w:pPr>
              <w:jc w:val="left"/>
              <w:rPr/>
            </w:pPr>
            <w:r w:rsidDel="00000000" w:rsidR="00000000" w:rsidRPr="00000000">
              <w:rPr>
                <w:rtl w:val="0"/>
              </w:rPr>
              <w:t xml:space="preserve">Members of Council (Lay)</w:t>
            </w:r>
          </w:p>
        </w:tc>
        <w:tc>
          <w:tcPr/>
          <w:p w:rsidR="00000000" w:rsidDel="00000000" w:rsidP="00000000" w:rsidRDefault="00000000" w:rsidRPr="00000000" w14:paraId="00000017">
            <w:pPr>
              <w:jc w:val="left"/>
              <w:rPr/>
            </w:pPr>
            <w:r w:rsidDel="00000000" w:rsidR="00000000" w:rsidRPr="00000000">
              <w:rPr>
                <w:rtl w:val="0"/>
              </w:rPr>
              <w:t xml:space="preserve">Presbytery meetings &amp; business</w:t>
            </w:r>
          </w:p>
        </w:tc>
        <w:tc>
          <w:tcPr/>
          <w:p w:rsidR="00000000" w:rsidDel="00000000" w:rsidP="00000000" w:rsidRDefault="00000000" w:rsidRPr="00000000" w14:paraId="00000018">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19">
            <w:pPr>
              <w:jc w:val="left"/>
              <w:rPr/>
            </w:pPr>
            <w:r w:rsidDel="00000000" w:rsidR="00000000" w:rsidRPr="00000000">
              <w:rPr>
                <w:rtl w:val="0"/>
              </w:rPr>
              <w:t xml:space="preserve">Convenors of Standing Committees</w:t>
            </w:r>
          </w:p>
        </w:tc>
        <w:tc>
          <w:tcPr/>
          <w:p w:rsidR="00000000" w:rsidDel="00000000" w:rsidP="00000000" w:rsidRDefault="00000000" w:rsidRPr="00000000" w14:paraId="0000001A">
            <w:pPr>
              <w:jc w:val="left"/>
              <w:rPr/>
            </w:pPr>
            <w:r w:rsidDel="00000000" w:rsidR="00000000" w:rsidRPr="00000000">
              <w:rPr>
                <w:rtl w:val="0"/>
              </w:rPr>
              <w:t xml:space="preserve">Committee meetings &amp; business</w:t>
            </w:r>
          </w:p>
        </w:tc>
        <w:tc>
          <w:tcPr/>
          <w:p w:rsidR="00000000" w:rsidDel="00000000" w:rsidP="00000000" w:rsidRDefault="00000000" w:rsidRPr="00000000" w14:paraId="0000001B">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1C">
            <w:pPr>
              <w:jc w:val="left"/>
              <w:rPr/>
            </w:pPr>
            <w:r w:rsidDel="00000000" w:rsidR="00000000" w:rsidRPr="00000000">
              <w:rPr>
                <w:rtl w:val="0"/>
              </w:rPr>
              <w:t xml:space="preserve">Committee Members</w:t>
            </w:r>
          </w:p>
        </w:tc>
        <w:tc>
          <w:tcPr/>
          <w:p w:rsidR="00000000" w:rsidDel="00000000" w:rsidP="00000000" w:rsidRDefault="00000000" w:rsidRPr="00000000" w14:paraId="0000001D">
            <w:pPr>
              <w:jc w:val="left"/>
              <w:rPr/>
            </w:pPr>
            <w:r w:rsidDel="00000000" w:rsidR="00000000" w:rsidRPr="00000000">
              <w:rPr>
                <w:rtl w:val="0"/>
              </w:rPr>
              <w:t xml:space="preserve">Committee meetings &amp; business</w:t>
            </w:r>
          </w:p>
        </w:tc>
        <w:tc>
          <w:tcPr/>
          <w:p w:rsidR="00000000" w:rsidDel="00000000" w:rsidP="00000000" w:rsidRDefault="00000000" w:rsidRPr="00000000" w14:paraId="0000001E">
            <w:pPr>
              <w:jc w:val="left"/>
              <w:rPr/>
            </w:pPr>
            <w:r w:rsidDel="00000000" w:rsidR="00000000" w:rsidRPr="00000000">
              <w:rPr>
                <w:rtl w:val="0"/>
              </w:rPr>
              <w:t xml:space="preserve">Parish/Individual</w:t>
            </w:r>
          </w:p>
        </w:tc>
      </w:tr>
      <w:tr>
        <w:trPr>
          <w:cantSplit w:val="0"/>
          <w:tblHeader w:val="0"/>
        </w:trPr>
        <w:tc>
          <w:tcPr/>
          <w:p w:rsidR="00000000" w:rsidDel="00000000" w:rsidP="00000000" w:rsidRDefault="00000000" w:rsidRPr="00000000" w14:paraId="0000001F">
            <w:pPr>
              <w:jc w:val="left"/>
              <w:rPr/>
            </w:pPr>
            <w:r w:rsidDel="00000000" w:rsidR="00000000" w:rsidRPr="00000000">
              <w:rPr>
                <w:rtl w:val="0"/>
              </w:rPr>
              <w:t xml:space="preserve">Commission Convenor (BOO s. 5.9 or s. 5.10)</w:t>
            </w:r>
          </w:p>
        </w:tc>
        <w:tc>
          <w:tcPr/>
          <w:p w:rsidR="00000000" w:rsidDel="00000000" w:rsidP="00000000" w:rsidRDefault="00000000" w:rsidRPr="00000000" w14:paraId="00000020">
            <w:pPr>
              <w:jc w:val="left"/>
              <w:rPr/>
            </w:pPr>
            <w:r w:rsidDel="00000000" w:rsidR="00000000" w:rsidRPr="00000000">
              <w:rPr>
                <w:rtl w:val="0"/>
              </w:rPr>
              <w:t xml:space="preserve">Commission under s. 5.9 or 5.10 of the BOO</w:t>
            </w:r>
          </w:p>
        </w:tc>
        <w:tc>
          <w:tcPr/>
          <w:p w:rsidR="00000000" w:rsidDel="00000000" w:rsidP="00000000" w:rsidRDefault="00000000" w:rsidRPr="00000000" w14:paraId="00000021">
            <w:pPr>
              <w:jc w:val="left"/>
              <w:rPr/>
            </w:pPr>
            <w:r w:rsidDel="00000000" w:rsidR="00000000" w:rsidRPr="00000000">
              <w:rPr>
                <w:rtl w:val="0"/>
              </w:rPr>
              <w:t xml:space="preserve">Presbytery; invoice parish for reimbursement at conclusion of commission</w:t>
            </w:r>
          </w:p>
        </w:tc>
      </w:tr>
      <w:tr>
        <w:trPr>
          <w:cantSplit w:val="0"/>
          <w:tblHeader w:val="0"/>
        </w:trPr>
        <w:tc>
          <w:tcPr/>
          <w:p w:rsidR="00000000" w:rsidDel="00000000" w:rsidP="00000000" w:rsidRDefault="00000000" w:rsidRPr="00000000" w14:paraId="00000022">
            <w:pPr>
              <w:jc w:val="left"/>
              <w:rPr/>
            </w:pPr>
            <w:r w:rsidDel="00000000" w:rsidR="00000000" w:rsidRPr="00000000">
              <w:rPr>
                <w:rtl w:val="0"/>
              </w:rPr>
              <w:t xml:space="preserve">Commission Member (BOO s. 5.9 or s. 5.10)</w:t>
            </w:r>
          </w:p>
        </w:tc>
        <w:tc>
          <w:tcPr/>
          <w:p w:rsidR="00000000" w:rsidDel="00000000" w:rsidP="00000000" w:rsidRDefault="00000000" w:rsidRPr="00000000" w14:paraId="00000023">
            <w:pPr>
              <w:jc w:val="left"/>
              <w:rPr/>
            </w:pPr>
            <w:r w:rsidDel="00000000" w:rsidR="00000000" w:rsidRPr="00000000">
              <w:rPr>
                <w:rtl w:val="0"/>
              </w:rPr>
              <w:t xml:space="preserve">Commission under s. 5.9 or 5.10 of the BOO</w:t>
            </w:r>
          </w:p>
        </w:tc>
        <w:tc>
          <w:tcPr/>
          <w:p w:rsidR="00000000" w:rsidDel="00000000" w:rsidP="00000000" w:rsidRDefault="00000000" w:rsidRPr="00000000" w14:paraId="00000024">
            <w:pPr>
              <w:jc w:val="left"/>
              <w:rPr/>
            </w:pPr>
            <w:r w:rsidDel="00000000" w:rsidR="00000000" w:rsidRPr="00000000">
              <w:rPr>
                <w:rtl w:val="0"/>
              </w:rPr>
              <w:t xml:space="preserve">Presbytery; invoice parish for reimbursement at conclusion of commission</w:t>
            </w:r>
          </w:p>
        </w:tc>
      </w:tr>
      <w:tr>
        <w:trPr>
          <w:cantSplit w:val="0"/>
          <w:tblHeader w:val="0"/>
        </w:trPr>
        <w:tc>
          <w:tcPr/>
          <w:p w:rsidR="00000000" w:rsidDel="00000000" w:rsidP="00000000" w:rsidRDefault="00000000" w:rsidRPr="00000000" w14:paraId="00000025">
            <w:pPr>
              <w:jc w:val="left"/>
              <w:rPr/>
            </w:pPr>
            <w:r w:rsidDel="00000000" w:rsidR="00000000" w:rsidRPr="00000000">
              <w:rPr>
                <w:rtl w:val="0"/>
              </w:rPr>
              <w:t xml:space="preserve">Commission Convenor (BOO s. 10.23)</w:t>
            </w:r>
          </w:p>
        </w:tc>
        <w:tc>
          <w:tcPr/>
          <w:p w:rsidR="00000000" w:rsidDel="00000000" w:rsidP="00000000" w:rsidRDefault="00000000" w:rsidRPr="00000000" w14:paraId="00000026">
            <w:pPr>
              <w:jc w:val="left"/>
              <w:rPr/>
            </w:pPr>
            <w:r w:rsidDel="00000000" w:rsidR="00000000" w:rsidRPr="00000000">
              <w:rPr>
                <w:rtl w:val="0"/>
              </w:rPr>
              <w:t xml:space="preserve">Commission under s. 10.23 of the BOO</w:t>
            </w:r>
          </w:p>
        </w:tc>
        <w:tc>
          <w:tcPr/>
          <w:p w:rsidR="00000000" w:rsidDel="00000000" w:rsidP="00000000" w:rsidRDefault="00000000" w:rsidRPr="00000000" w14:paraId="00000027">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28">
            <w:pPr>
              <w:jc w:val="left"/>
              <w:rPr/>
            </w:pPr>
            <w:r w:rsidDel="00000000" w:rsidR="00000000" w:rsidRPr="00000000">
              <w:rPr>
                <w:rtl w:val="0"/>
              </w:rPr>
              <w:t xml:space="preserve">Commission Member (BOO s. 10.23)</w:t>
            </w:r>
          </w:p>
        </w:tc>
        <w:tc>
          <w:tcPr/>
          <w:p w:rsidR="00000000" w:rsidDel="00000000" w:rsidP="00000000" w:rsidRDefault="00000000" w:rsidRPr="00000000" w14:paraId="00000029">
            <w:pPr>
              <w:jc w:val="left"/>
              <w:rPr/>
            </w:pPr>
            <w:r w:rsidDel="00000000" w:rsidR="00000000" w:rsidRPr="00000000">
              <w:rPr>
                <w:rtl w:val="0"/>
              </w:rPr>
              <w:t xml:space="preserve">Commission under s. 10.23 of the BOO</w:t>
            </w:r>
          </w:p>
        </w:tc>
        <w:tc>
          <w:tcPr/>
          <w:p w:rsidR="00000000" w:rsidDel="00000000" w:rsidP="00000000" w:rsidRDefault="00000000" w:rsidRPr="00000000" w14:paraId="0000002A">
            <w:pPr>
              <w:jc w:val="left"/>
              <w:rPr/>
            </w:pPr>
            <w:r w:rsidDel="00000000" w:rsidR="00000000" w:rsidRPr="00000000">
              <w:rPr>
                <w:rtl w:val="0"/>
              </w:rPr>
              <w:t xml:space="preserve">Presbytery</w:t>
            </w:r>
          </w:p>
        </w:tc>
      </w:tr>
      <w:tr>
        <w:trPr>
          <w:cantSplit w:val="0"/>
          <w:tblHeader w:val="0"/>
        </w:trPr>
        <w:tc>
          <w:tcPr/>
          <w:p w:rsidR="00000000" w:rsidDel="00000000" w:rsidP="00000000" w:rsidRDefault="00000000" w:rsidRPr="00000000" w14:paraId="0000002B">
            <w:pPr>
              <w:jc w:val="left"/>
              <w:rPr/>
            </w:pPr>
            <w:r w:rsidDel="00000000" w:rsidR="00000000" w:rsidRPr="00000000">
              <w:rPr>
                <w:rtl w:val="0"/>
              </w:rPr>
              <w:t xml:space="preserve">Commission Convenor</w:t>
            </w:r>
          </w:p>
        </w:tc>
        <w:tc>
          <w:tcPr/>
          <w:p w:rsidR="00000000" w:rsidDel="00000000" w:rsidP="00000000" w:rsidRDefault="00000000" w:rsidRPr="00000000" w14:paraId="0000002C">
            <w:pPr>
              <w:jc w:val="left"/>
              <w:rPr/>
            </w:pPr>
            <w:r w:rsidDel="00000000" w:rsidR="00000000" w:rsidRPr="00000000">
              <w:rPr>
                <w:rtl w:val="0"/>
              </w:rPr>
              <w:t xml:space="preserve">Parish asks for commission, e.g., because can’t pay minister, or the commission is responding to a parish request</w:t>
            </w:r>
          </w:p>
        </w:tc>
        <w:tc>
          <w:tcPr/>
          <w:p w:rsidR="00000000" w:rsidDel="00000000" w:rsidP="00000000" w:rsidRDefault="00000000" w:rsidRPr="00000000" w14:paraId="0000002D">
            <w:pPr>
              <w:jc w:val="left"/>
              <w:rPr/>
            </w:pPr>
            <w:r w:rsidDel="00000000" w:rsidR="00000000" w:rsidRPr="00000000">
              <w:rPr>
                <w:rtl w:val="0"/>
              </w:rPr>
              <w:t xml:space="preserve">Requesting Parish</w:t>
            </w:r>
          </w:p>
        </w:tc>
      </w:tr>
      <w:tr>
        <w:trPr>
          <w:cantSplit w:val="0"/>
          <w:tblHeader w:val="0"/>
        </w:trPr>
        <w:tc>
          <w:tcPr/>
          <w:p w:rsidR="00000000" w:rsidDel="00000000" w:rsidP="00000000" w:rsidRDefault="00000000" w:rsidRPr="00000000" w14:paraId="0000002E">
            <w:pPr>
              <w:jc w:val="left"/>
              <w:rPr/>
            </w:pPr>
            <w:r w:rsidDel="00000000" w:rsidR="00000000" w:rsidRPr="00000000">
              <w:rPr>
                <w:rtl w:val="0"/>
              </w:rPr>
              <w:t xml:space="preserve">Commission Member</w:t>
            </w:r>
          </w:p>
        </w:tc>
        <w:tc>
          <w:tcPr/>
          <w:p w:rsidR="00000000" w:rsidDel="00000000" w:rsidP="00000000" w:rsidRDefault="00000000" w:rsidRPr="00000000" w14:paraId="0000002F">
            <w:pPr>
              <w:jc w:val="left"/>
              <w:rPr/>
            </w:pPr>
            <w:r w:rsidDel="00000000" w:rsidR="00000000" w:rsidRPr="00000000">
              <w:rPr>
                <w:rtl w:val="0"/>
              </w:rPr>
              <w:t xml:space="preserve">Parish asks for commission, e.g., because can’t pay minister, or the commission is responding to a parish request</w:t>
            </w:r>
          </w:p>
        </w:tc>
        <w:tc>
          <w:tcPr/>
          <w:p w:rsidR="00000000" w:rsidDel="00000000" w:rsidP="00000000" w:rsidRDefault="00000000" w:rsidRPr="00000000" w14:paraId="00000030">
            <w:pPr>
              <w:jc w:val="left"/>
              <w:rPr/>
            </w:pPr>
            <w:r w:rsidDel="00000000" w:rsidR="00000000" w:rsidRPr="00000000">
              <w:rPr>
                <w:rtl w:val="0"/>
              </w:rPr>
              <w:t xml:space="preserve">Requesting Parish</w:t>
            </w:r>
          </w:p>
        </w:tc>
      </w:tr>
      <w:tr>
        <w:trPr>
          <w:cantSplit w:val="0"/>
          <w:tblHeader w:val="0"/>
        </w:trPr>
        <w:tc>
          <w:tcPr/>
          <w:p w:rsidR="00000000" w:rsidDel="00000000" w:rsidP="00000000" w:rsidRDefault="00000000" w:rsidRPr="00000000" w14:paraId="00000031">
            <w:pPr>
              <w:jc w:val="left"/>
              <w:rPr/>
            </w:pPr>
            <w:r w:rsidDel="00000000" w:rsidR="00000000" w:rsidRPr="00000000">
              <w:rPr>
                <w:rtl w:val="0"/>
              </w:rPr>
              <w:t xml:space="preserve">Commission Convenor</w:t>
            </w:r>
          </w:p>
        </w:tc>
        <w:tc>
          <w:tcPr/>
          <w:p w:rsidR="00000000" w:rsidDel="00000000" w:rsidP="00000000" w:rsidRDefault="00000000" w:rsidRPr="00000000" w14:paraId="00000032">
            <w:pPr>
              <w:jc w:val="left"/>
              <w:rPr/>
            </w:pPr>
            <w:r w:rsidDel="00000000" w:rsidR="00000000" w:rsidRPr="00000000">
              <w:rPr>
                <w:rtl w:val="0"/>
              </w:rPr>
              <w:t xml:space="preserve">Presbytery asks for commission</w:t>
            </w:r>
          </w:p>
        </w:tc>
        <w:tc>
          <w:tcPr/>
          <w:p w:rsidR="00000000" w:rsidDel="00000000" w:rsidP="00000000" w:rsidRDefault="00000000" w:rsidRPr="00000000" w14:paraId="00000033">
            <w:pPr>
              <w:jc w:val="left"/>
              <w:rPr/>
            </w:pPr>
            <w:r w:rsidDel="00000000" w:rsidR="00000000" w:rsidRPr="00000000">
              <w:rPr>
                <w:rtl w:val="0"/>
              </w:rPr>
              <w:t xml:space="preserve">Presbytery; negotiate with parish for contribution</w:t>
            </w:r>
          </w:p>
        </w:tc>
      </w:tr>
      <w:tr>
        <w:trPr>
          <w:cantSplit w:val="0"/>
          <w:tblHeader w:val="0"/>
        </w:trPr>
        <w:tc>
          <w:tcPr/>
          <w:p w:rsidR="00000000" w:rsidDel="00000000" w:rsidP="00000000" w:rsidRDefault="00000000" w:rsidRPr="00000000" w14:paraId="00000034">
            <w:pPr>
              <w:jc w:val="left"/>
              <w:rPr/>
            </w:pPr>
            <w:r w:rsidDel="00000000" w:rsidR="00000000" w:rsidRPr="00000000">
              <w:rPr>
                <w:rtl w:val="0"/>
              </w:rPr>
              <w:t xml:space="preserve">Commission Member</w:t>
            </w:r>
          </w:p>
        </w:tc>
        <w:tc>
          <w:tcPr/>
          <w:p w:rsidR="00000000" w:rsidDel="00000000" w:rsidP="00000000" w:rsidRDefault="00000000" w:rsidRPr="00000000" w14:paraId="00000035">
            <w:pPr>
              <w:jc w:val="left"/>
              <w:rPr/>
            </w:pPr>
            <w:r w:rsidDel="00000000" w:rsidR="00000000" w:rsidRPr="00000000">
              <w:rPr>
                <w:rtl w:val="0"/>
              </w:rPr>
              <w:t xml:space="preserve">Presbytery asks for commission</w:t>
            </w:r>
          </w:p>
        </w:tc>
        <w:tc>
          <w:tcPr/>
          <w:p w:rsidR="00000000" w:rsidDel="00000000" w:rsidP="00000000" w:rsidRDefault="00000000" w:rsidRPr="00000000" w14:paraId="00000036">
            <w:pPr>
              <w:jc w:val="left"/>
              <w:rPr/>
            </w:pPr>
            <w:r w:rsidDel="00000000" w:rsidR="00000000" w:rsidRPr="00000000">
              <w:rPr>
                <w:rtl w:val="0"/>
              </w:rPr>
              <w:t xml:space="preserve">Presbytery; negotiate with parish for contribution</w:t>
            </w:r>
          </w:p>
        </w:tc>
      </w:tr>
      <w:tr>
        <w:trPr>
          <w:cantSplit w:val="0"/>
          <w:tblHeader w:val="0"/>
        </w:trPr>
        <w:tc>
          <w:tcPr/>
          <w:p w:rsidR="00000000" w:rsidDel="00000000" w:rsidP="00000000" w:rsidRDefault="00000000" w:rsidRPr="00000000" w14:paraId="00000037">
            <w:pPr>
              <w:jc w:val="left"/>
              <w:rPr/>
            </w:pPr>
            <w:r w:rsidDel="00000000" w:rsidR="00000000" w:rsidRPr="00000000">
              <w:rPr>
                <w:rtl w:val="0"/>
              </w:rPr>
              <w:t xml:space="preserve">Interim Moderator</w:t>
            </w:r>
          </w:p>
        </w:tc>
        <w:tc>
          <w:tcPr/>
          <w:p w:rsidR="00000000" w:rsidDel="00000000" w:rsidP="00000000" w:rsidRDefault="00000000" w:rsidRPr="00000000" w14:paraId="00000038">
            <w:pPr>
              <w:jc w:val="left"/>
              <w:rPr/>
            </w:pPr>
            <w:r w:rsidDel="00000000" w:rsidR="00000000" w:rsidRPr="00000000">
              <w:rPr>
                <w:rtl w:val="0"/>
              </w:rPr>
              <w:t xml:space="preserve">Ministry vacancy</w:t>
            </w:r>
          </w:p>
        </w:tc>
        <w:tc>
          <w:tcPr/>
          <w:p w:rsidR="00000000" w:rsidDel="00000000" w:rsidP="00000000" w:rsidRDefault="00000000" w:rsidRPr="00000000" w14:paraId="00000039">
            <w:pPr>
              <w:jc w:val="left"/>
              <w:rPr/>
            </w:pPr>
            <w:r w:rsidDel="00000000" w:rsidR="00000000" w:rsidRPr="00000000">
              <w:rPr>
                <w:rtl w:val="0"/>
              </w:rPr>
              <w:t xml:space="preserve">Parish with vacancy</w:t>
            </w:r>
          </w:p>
        </w:tc>
      </w:tr>
      <w:tr>
        <w:trPr>
          <w:cantSplit w:val="0"/>
          <w:tblHeader w:val="0"/>
        </w:trPr>
        <w:tc>
          <w:tcPr/>
          <w:p w:rsidR="00000000" w:rsidDel="00000000" w:rsidP="00000000" w:rsidRDefault="00000000" w:rsidRPr="00000000" w14:paraId="0000003A">
            <w:pPr>
              <w:jc w:val="left"/>
              <w:rPr/>
            </w:pPr>
            <w:r w:rsidDel="00000000" w:rsidR="00000000" w:rsidRPr="00000000">
              <w:rPr>
                <w:rtl w:val="0"/>
              </w:rPr>
              <w:t xml:space="preserve">MSB Convenor</w:t>
            </w:r>
          </w:p>
        </w:tc>
        <w:tc>
          <w:tcPr/>
          <w:p w:rsidR="00000000" w:rsidDel="00000000" w:rsidP="00000000" w:rsidRDefault="00000000" w:rsidRPr="00000000" w14:paraId="0000003B">
            <w:pPr>
              <w:jc w:val="left"/>
              <w:rPr/>
            </w:pPr>
            <w:r w:rsidDel="00000000" w:rsidR="00000000" w:rsidRPr="00000000">
              <w:rPr>
                <w:rtl w:val="0"/>
              </w:rPr>
              <w:t xml:space="preserve">Opportunity for ministry settlement</w:t>
            </w:r>
          </w:p>
        </w:tc>
        <w:tc>
          <w:tcPr/>
          <w:p w:rsidR="00000000" w:rsidDel="00000000" w:rsidP="00000000" w:rsidRDefault="00000000" w:rsidRPr="00000000" w14:paraId="0000003C">
            <w:pPr>
              <w:jc w:val="left"/>
              <w:rPr/>
            </w:pPr>
            <w:r w:rsidDel="00000000" w:rsidR="00000000" w:rsidRPr="00000000">
              <w:rPr>
                <w:rtl w:val="0"/>
              </w:rPr>
              <w:t xml:space="preserve">Parish seeking settlement</w:t>
            </w:r>
          </w:p>
        </w:tc>
      </w:tr>
      <w:tr>
        <w:trPr>
          <w:cantSplit w:val="0"/>
          <w:tblHeader w:val="0"/>
        </w:trPr>
        <w:tc>
          <w:tcPr/>
          <w:p w:rsidR="00000000" w:rsidDel="00000000" w:rsidP="00000000" w:rsidRDefault="00000000" w:rsidRPr="00000000" w14:paraId="0000003D">
            <w:pPr>
              <w:jc w:val="left"/>
              <w:rPr/>
            </w:pPr>
            <w:r w:rsidDel="00000000" w:rsidR="00000000" w:rsidRPr="00000000">
              <w:rPr>
                <w:rtl w:val="0"/>
              </w:rPr>
              <w:t xml:space="preserve">MSB Presbytery Member</w:t>
            </w:r>
          </w:p>
        </w:tc>
        <w:tc>
          <w:tcPr/>
          <w:p w:rsidR="00000000" w:rsidDel="00000000" w:rsidP="00000000" w:rsidRDefault="00000000" w:rsidRPr="00000000" w14:paraId="0000003E">
            <w:pPr>
              <w:jc w:val="left"/>
              <w:rPr/>
            </w:pPr>
            <w:r w:rsidDel="00000000" w:rsidR="00000000" w:rsidRPr="00000000">
              <w:rPr>
                <w:rtl w:val="0"/>
              </w:rPr>
              <w:t xml:space="preserve">Opportunity for ministry settlement</w:t>
            </w:r>
          </w:p>
        </w:tc>
        <w:tc>
          <w:tcPr/>
          <w:p w:rsidR="00000000" w:rsidDel="00000000" w:rsidP="00000000" w:rsidRDefault="00000000" w:rsidRPr="00000000" w14:paraId="0000003F">
            <w:pPr>
              <w:jc w:val="left"/>
              <w:rPr/>
            </w:pPr>
            <w:r w:rsidDel="00000000" w:rsidR="00000000" w:rsidRPr="00000000">
              <w:rPr>
                <w:rtl w:val="0"/>
              </w:rPr>
              <w:t xml:space="preserve">Parish seeking settlement</w:t>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main reason for increasing the occasions for which the Presbytery bears the cost of travel is twofold. First, we are increasingly drawing on the same parishes to provide the services of their ministers, so it is fair that all the parishes in the Presbytery should contribute to the Presbytery-related travel of these ministers rather than the parishes of origin having to bear the cost. Second, we are finding it difficult to attract lay members to the Presbytery Council, so having the whole Presbytery cover the cost of some Presbytery-related travel seems fair. In summary, the Presbytery is unevenly resourced, so we must find a way of compensating for this.</w:t>
      </w:r>
    </w:p>
    <w:p w:rsidR="00000000" w:rsidDel="00000000" w:rsidP="00000000" w:rsidRDefault="00000000" w:rsidRPr="00000000" w14:paraId="00000042">
      <w:pPr>
        <w:rPr/>
      </w:pPr>
      <w:r w:rsidDel="00000000" w:rsidR="00000000" w:rsidRPr="00000000">
        <w:rPr>
          <w:rtl w:val="0"/>
        </w:rPr>
        <w:t xml:space="preserve">If accepted, this policy will mean that a larger sum must be budgeted for to cover Presbytery -related travel. If we apply this policy for the final six months of the current financial year, we will have a better idea of how much to budget for the financial year starting on 1 July 2020 and ending on 30 June 2021. We have not budgeted for this extra expenditure, however, so the alternative to this is to apply the policy from 1 July 2020, do some calculations of likely costs and provide for this in the next budget.</w:t>
      </w:r>
    </w:p>
    <w:p w:rsidR="00000000" w:rsidDel="00000000" w:rsidP="00000000" w:rsidRDefault="00000000" w:rsidRPr="00000000" w14:paraId="00000043">
      <w:pPr>
        <w:rPr/>
      </w:pPr>
      <w:r w:rsidDel="00000000" w:rsidR="00000000" w:rsidRPr="00000000">
        <w:rPr>
          <w:rtl w:val="0"/>
        </w:rPr>
        <w:t xml:space="preserve">The policy also means that we must look for other ways of reducing the travel budget, e.g., carpooling, reducing the number of face-to-face meetings and using technology such as Zoom.</w:t>
      </w:r>
    </w:p>
    <w:p w:rsidR="00000000" w:rsidDel="00000000" w:rsidP="00000000" w:rsidRDefault="00000000" w:rsidRPr="00000000" w14:paraId="00000044">
      <w:pPr>
        <w:rPr/>
      </w:pPr>
      <w:r w:rsidDel="00000000" w:rsidR="00000000" w:rsidRPr="00000000">
        <w:rPr>
          <w:rtl w:val="0"/>
        </w:rPr>
        <w:t xml:space="preserve">It is also recommended that we budget a separate travel allowance for the Moderator to undertake parish visits. These visits play an important part in maintaining contact between the Presbytery and its parishes, particularly those on the geographical edges of the Presbytery. We recognise in the Risk Management Framework that there are risks in losing contact between the Presbytery and its parishes. This is one of the measures we can use to help guard against this.</w:t>
      </w:r>
    </w:p>
    <w:p w:rsidR="00000000" w:rsidDel="00000000" w:rsidP="00000000" w:rsidRDefault="00000000" w:rsidRPr="00000000" w14:paraId="00000045">
      <w:pPr>
        <w:rPr/>
      </w:pPr>
      <w:r w:rsidDel="00000000" w:rsidR="00000000" w:rsidRPr="00000000">
        <w:rPr>
          <w:rtl w:val="0"/>
        </w:rPr>
        <w:t xml:space="preserve">The policy doesn’t cover every situation likely to arise, but it should enable us to work out what approach to take in such cases. The main thing is to be clear at the outset where the costs of travel will ultimately fall.</w:t>
      </w:r>
    </w:p>
    <w:p w:rsidR="00000000" w:rsidDel="00000000" w:rsidP="00000000" w:rsidRDefault="00000000" w:rsidRPr="00000000" w14:paraId="00000046">
      <w:pPr>
        <w:pStyle w:val="Heading3"/>
        <w:rPr/>
      </w:pPr>
      <w:r w:rsidDel="00000000" w:rsidR="00000000" w:rsidRPr="00000000">
        <w:rPr>
          <w:rtl w:val="0"/>
        </w:rPr>
        <w:t xml:space="preserve">Recommendation (adopted 27/11/2019)</w:t>
      </w:r>
    </w:p>
    <w:p w:rsidR="00000000" w:rsidDel="00000000" w:rsidP="00000000" w:rsidRDefault="00000000" w:rsidRPr="00000000" w14:paraId="00000047">
      <w:pPr>
        <w:rPr/>
      </w:pPr>
      <w:r w:rsidDel="00000000" w:rsidR="00000000" w:rsidRPr="00000000">
        <w:rPr>
          <w:rtl w:val="0"/>
        </w:rPr>
        <w:t xml:space="preserve">THAT the Kaimai Presbytery Council adopt the travel reimbursement policy set out in this document with effect from 1 July 2020 and review the policy at its final meeting in each calendar year. The rate of reimbursement shall be the rate for the up to 26,000 kilometres band.</w:t>
      </w:r>
    </w:p>
    <w:p w:rsidR="00000000" w:rsidDel="00000000" w:rsidP="00000000" w:rsidRDefault="00000000" w:rsidRPr="00000000" w14:paraId="00000048">
      <w:pPr>
        <w:spacing w:before="240" w:lineRule="auto"/>
        <w:rPr/>
      </w:pPr>
      <w:r w:rsidDel="00000000" w:rsidR="00000000" w:rsidRPr="00000000">
        <w:rPr>
          <w:rtl w:val="0"/>
        </w:rPr>
        <w:t xml:space="preserve">Wednesday, 27 November 2019</w:t>
      </w:r>
    </w:p>
    <w:p w:rsidR="00000000" w:rsidDel="00000000" w:rsidP="00000000" w:rsidRDefault="00000000" w:rsidRPr="00000000" w14:paraId="00000049">
      <w:pPr>
        <w:spacing w:before="240" w:lineRule="auto"/>
        <w:jc w:val="left"/>
        <w:rPr/>
      </w:pPr>
      <w:r w:rsidDel="00000000" w:rsidR="00000000" w:rsidRPr="00000000">
        <w:rPr>
          <w:rtl w:val="0"/>
        </w:rPr>
        <w:t xml:space="preserve">Rev. Dr. Ron Mills</w:t>
        <w:br w:type="textWrapping"/>
        <w:t xml:space="preserve">for the Presbytery Executive (Moderator, Convenor, Administrator)</w:t>
      </w:r>
    </w:p>
    <w:p w:rsidR="00000000" w:rsidDel="00000000" w:rsidP="00000000" w:rsidRDefault="00000000" w:rsidRPr="00000000" w14:paraId="0000004A">
      <w:pPr>
        <w:spacing w:before="240" w:lineRule="auto"/>
        <w:jc w:val="left"/>
        <w:rPr/>
      </w:pPr>
      <w:r w:rsidDel="00000000" w:rsidR="00000000" w:rsidRPr="00000000">
        <w:rPr>
          <w:rtl w:val="0"/>
        </w:rPr>
        <w:t xml:space="preserve">NB. The rate of reimbursement from 1 July 2020 is $0.55 per kilometre.</w:t>
      </w:r>
    </w:p>
    <w:p w:rsidR="00000000" w:rsidDel="00000000" w:rsidP="00000000" w:rsidRDefault="00000000" w:rsidRPr="00000000" w14:paraId="0000004B">
      <w:pPr>
        <w:spacing w:before="240" w:lineRule="auto"/>
        <w:jc w:val="left"/>
        <w:rPr>
          <w:b w:val="1"/>
        </w:rPr>
      </w:pPr>
      <w:r w:rsidDel="00000000" w:rsidR="00000000" w:rsidRPr="00000000">
        <w:rPr>
          <w:b w:val="1"/>
          <w:rtl w:val="0"/>
        </w:rPr>
        <w:t xml:space="preserve">UPDATED SCALE</w:t>
      </w:r>
    </w:p>
    <w:p w:rsidR="00000000" w:rsidDel="00000000" w:rsidP="00000000" w:rsidRDefault="00000000" w:rsidRPr="00000000" w14:paraId="0000004C">
      <w:pPr>
        <w:pStyle w:val="Heading3"/>
        <w:rPr/>
      </w:pPr>
      <w:r w:rsidDel="00000000" w:rsidR="00000000" w:rsidRPr="00000000">
        <w:rPr>
          <w:rtl w:val="0"/>
        </w:rPr>
        <w:t xml:space="preserve">Recommendation (adopted 12/08/2021)</w:t>
      </w:r>
    </w:p>
    <w:p w:rsidR="00000000" w:rsidDel="00000000" w:rsidP="00000000" w:rsidRDefault="00000000" w:rsidRPr="00000000" w14:paraId="0000004D">
      <w:pPr>
        <w:rPr>
          <w:color w:val="222222"/>
          <w:sz w:val="24"/>
          <w:szCs w:val="24"/>
        </w:rPr>
      </w:pPr>
      <w:r w:rsidDel="00000000" w:rsidR="00000000" w:rsidRPr="00000000">
        <w:rPr>
          <w:rtl w:val="0"/>
        </w:rPr>
        <w:t xml:space="preserve">THAT the Kaimai Presbytery Council agree that from 1 July 2021 the rate of reimbursement for vehicle travel under Kaimai Presbytery's Travel Reimbursement Policy and Policy on Payment of Interim Moderators, Supt Moderators, and Convenors and Presbytery Representatives on Ministry Settlement Boards be the rate applicable under the PCANZ travel reimbursement scale included in Issue 235 of the Treasurer's Newsletter dated July 2021.</w:t>
      </w:r>
      <w:r w:rsidDel="00000000" w:rsidR="00000000" w:rsidRPr="00000000">
        <w:rPr>
          <w:rtl w:val="0"/>
        </w:rPr>
      </w:r>
    </w:p>
    <w:p w:rsidR="00000000" w:rsidDel="00000000" w:rsidP="00000000" w:rsidRDefault="00000000" w:rsidRPr="00000000" w14:paraId="0000004E">
      <w:pPr>
        <w:spacing w:before="240" w:lineRule="auto"/>
        <w:jc w:val="left"/>
        <w:rPr>
          <w:b w:val="1"/>
        </w:rPr>
      </w:pPr>
      <w:r w:rsidDel="00000000" w:rsidR="00000000" w:rsidRPr="00000000">
        <w:rPr>
          <w:b w:val="1"/>
          <w:rtl w:val="0"/>
        </w:rPr>
        <w:t xml:space="preserve">Recommendation (adopted 26 May 2022)</w:t>
      </w:r>
    </w:p>
    <w:p w:rsidR="00000000" w:rsidDel="00000000" w:rsidP="00000000" w:rsidRDefault="00000000" w:rsidRPr="00000000" w14:paraId="0000004F">
      <w:pPr>
        <w:spacing w:before="240" w:lineRule="auto"/>
        <w:jc w:val="left"/>
        <w:rPr/>
      </w:pPr>
      <w:r w:rsidDel="00000000" w:rsidR="00000000" w:rsidRPr="00000000">
        <w:rPr>
          <w:rtl w:val="0"/>
        </w:rPr>
        <w:t xml:space="preserve">THAT the Kaimai Presbytery Council agree in principle that other costs associated with attending Gatherings be paid for Presbytery employees.</w:t>
      </w:r>
    </w:p>
    <w:p w:rsidR="00000000" w:rsidDel="00000000" w:rsidP="00000000" w:rsidRDefault="00000000" w:rsidRPr="00000000" w14:paraId="00000050">
      <w:pPr>
        <w:spacing w:before="240" w:lineRule="auto"/>
        <w:jc w:val="left"/>
        <w:rPr>
          <w:b w:val="1"/>
        </w:rPr>
      </w:pPr>
      <w:r w:rsidDel="00000000" w:rsidR="00000000" w:rsidRPr="00000000">
        <w:rPr>
          <w:b w:val="1"/>
          <w:rtl w:val="0"/>
        </w:rPr>
        <w:t xml:space="preserve">UPDATED SCALE (adopted 29/6/22)</w:t>
      </w:r>
    </w:p>
    <w:p w:rsidR="00000000" w:rsidDel="00000000" w:rsidP="00000000" w:rsidRDefault="00000000" w:rsidRPr="00000000" w14:paraId="00000051">
      <w:pPr>
        <w:spacing w:before="240" w:lineRule="auto"/>
        <w:jc w:val="left"/>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THAT the Kaimai Presbytery Council agree that from 1 July 2022 the rate of reimbursement for vehicle travel under Kaimai Presbytery's Travel Reimbursement Policy and Policy on Payment of Interim Moderators, Supt Moderators, and Convenors and Presbytery Representatives on Ministry Settlement Boards be the rate applicable under the PCANZ travel reimbursement scale included in Issue 241 of the Treasurer's Newsletter dated June 2022.</w:t>
      </w:r>
    </w:p>
    <w:p w:rsidR="00000000" w:rsidDel="00000000" w:rsidP="00000000" w:rsidRDefault="00000000" w:rsidRPr="00000000" w14:paraId="00000052">
      <w:pPr>
        <w:spacing w:before="240" w:lineRule="auto"/>
        <w:jc w:val="left"/>
        <w:rPr>
          <w:b w:val="1"/>
        </w:rPr>
      </w:pPr>
      <w:r w:rsidDel="00000000" w:rsidR="00000000" w:rsidRPr="00000000">
        <w:rPr>
          <w:b w:val="1"/>
          <w:rtl w:val="0"/>
        </w:rPr>
        <w:t xml:space="preserve">UPDATED SCALE (adopted 22/6/22)</w:t>
      </w:r>
    </w:p>
    <w:p w:rsidR="00000000" w:rsidDel="00000000" w:rsidP="00000000" w:rsidRDefault="00000000" w:rsidRPr="00000000" w14:paraId="00000053">
      <w:pPr>
        <w:spacing w:before="240" w:lineRule="auto"/>
        <w:rPr>
          <w:color w:val="222222"/>
          <w:highlight w:val="white"/>
        </w:rPr>
      </w:pPr>
      <w:r w:rsidDel="00000000" w:rsidR="00000000" w:rsidRPr="00000000">
        <w:rPr>
          <w:color w:val="222222"/>
          <w:highlight w:val="white"/>
          <w:rtl w:val="0"/>
        </w:rPr>
        <w:t xml:space="preserve">THAT the Kaimai Presbytery Council agree that from 1 July 2023 the rate of reimbursement for vehicle travel under Kaimai Presbytery's Travel Reimbursement Policy and Policy on Payment of Interim Moderators, Supt Moderators, and Convenors and Presbytery Representatives on Ministry Settlement Boards be the rate applicable under the PCANZ travel reimbursement scale included in </w:t>
      </w:r>
      <w:hyperlink r:id="rId7">
        <w:r w:rsidDel="00000000" w:rsidR="00000000" w:rsidRPr="00000000">
          <w:rPr>
            <w:color w:val="0000ff"/>
            <w:highlight w:val="white"/>
            <w:u w:val="single"/>
            <w:rtl w:val="0"/>
          </w:rPr>
          <w:t xml:space="preserve">the Church Management Support Guide- Update 8.0</w:t>
        </w:r>
      </w:hyperlink>
      <w:r w:rsidDel="00000000" w:rsidR="00000000" w:rsidRPr="00000000">
        <w:rPr>
          <w:color w:val="222222"/>
          <w:highlight w:val="white"/>
          <w:rtl w:val="0"/>
        </w:rPr>
        <w:t xml:space="preserve"> section 3.3.4</w:t>
      </w:r>
    </w:p>
    <w:p w:rsidR="00000000" w:rsidDel="00000000" w:rsidP="00000000" w:rsidRDefault="00000000" w:rsidRPr="00000000" w14:paraId="00000054">
      <w:pPr>
        <w:spacing w:before="240" w:lineRule="auto"/>
        <w:rPr>
          <w:color w:val="222222"/>
          <w:highlight w:val="white"/>
        </w:rPr>
      </w:pPr>
      <w:r w:rsidDel="00000000" w:rsidR="00000000" w:rsidRPr="00000000">
        <w:rPr>
          <w:color w:val="222222"/>
          <w:highlight w:val="white"/>
          <w:rtl w:val="0"/>
        </w:rPr>
        <w:t xml:space="preserve">NB: The rate of reimbursement from 1 July 2023 is $0.95 per kilometre.</w:t>
      </w:r>
    </w:p>
    <w:p w:rsidR="00000000" w:rsidDel="00000000" w:rsidP="00000000" w:rsidRDefault="00000000" w:rsidRPr="00000000" w14:paraId="00000055">
      <w:pPr>
        <w:spacing w:before="240" w:lineRule="auto"/>
        <w:rPr>
          <w:color w:val="222222"/>
          <w:highlight w:val="white"/>
        </w:rPr>
      </w:pPr>
      <w:r w:rsidDel="00000000" w:rsidR="00000000" w:rsidRPr="00000000">
        <w:rPr>
          <w:rtl w:val="0"/>
        </w:rPr>
      </w:r>
    </w:p>
    <w:p w:rsidR="00000000" w:rsidDel="00000000" w:rsidP="00000000" w:rsidRDefault="00000000" w:rsidRPr="00000000" w14:paraId="00000056">
      <w:pPr>
        <w:spacing w:before="240" w:lineRule="auto"/>
        <w:jc w:val="left"/>
        <w:rPr>
          <w:b w:val="1"/>
        </w:rPr>
      </w:pPr>
      <w:r w:rsidDel="00000000" w:rsidR="00000000" w:rsidRPr="00000000">
        <w:rPr>
          <w:b w:val="1"/>
          <w:rtl w:val="0"/>
        </w:rPr>
        <w:t xml:space="preserve">UPDATED SCALE (adopted 250723)</w:t>
      </w:r>
    </w:p>
    <w:p w:rsidR="00000000" w:rsidDel="00000000" w:rsidP="00000000" w:rsidRDefault="00000000" w:rsidRPr="00000000" w14:paraId="00000057">
      <w:pPr>
        <w:keepLines w:val="1"/>
        <w:tabs>
          <w:tab w:val="left" w:leader="none" w:pos="6373"/>
        </w:tabs>
        <w:spacing w:after="0"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Kaimai Presbytery Council update its reimbursement policy of mileage according to PCANZ. </w:t>
      </w:r>
    </w:p>
    <w:p w:rsidR="00000000" w:rsidDel="00000000" w:rsidP="00000000" w:rsidRDefault="00000000" w:rsidRPr="00000000" w14:paraId="00000058">
      <w:pPr>
        <w:keepLines w:val="1"/>
        <w:tabs>
          <w:tab w:val="left" w:leader="none" w:pos="6373"/>
        </w:tabs>
        <w:spacing w:after="0"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Moved: Rev Ron Bennett/ Seconded: Rev Enosa Auva’a - Agreed</w:t>
      </w:r>
    </w:p>
    <w:p w:rsidR="00000000" w:rsidDel="00000000" w:rsidP="00000000" w:rsidRDefault="00000000" w:rsidRPr="00000000" w14:paraId="00000059">
      <w:pPr>
        <w:keepLines w:val="1"/>
        <w:tabs>
          <w:tab w:val="left" w:leader="none" w:pos="6373"/>
        </w:tabs>
        <w:spacing w:after="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spacing w:before="240" w:lineRule="auto"/>
        <w:rPr>
          <w:rFonts w:ascii="Calibri" w:cs="Calibri" w:eastAsia="Calibri" w:hAnsi="Calibri"/>
          <w:sz w:val="22"/>
          <w:szCs w:val="22"/>
        </w:rPr>
      </w:pPr>
      <w:r w:rsidDel="00000000" w:rsidR="00000000" w:rsidRPr="00000000">
        <w:rPr>
          <w:color w:val="222222"/>
          <w:highlight w:val="white"/>
          <w:rtl w:val="0"/>
        </w:rPr>
        <w:t xml:space="preserve">NB: The rate of reimbursement from 1 July 2025</w:t>
      </w:r>
      <w:r w:rsidDel="00000000" w:rsidR="00000000" w:rsidRPr="00000000">
        <w:rPr>
          <w:rtl w:val="0"/>
        </w:rPr>
      </w:r>
    </w:p>
    <w:p w:rsidR="00000000" w:rsidDel="00000000" w:rsidP="00000000" w:rsidRDefault="00000000" w:rsidRPr="00000000" w14:paraId="0000005B">
      <w:pPr>
        <w:spacing w:before="240" w:lineRule="auto"/>
        <w:jc w:val="left"/>
        <w:rPr>
          <w:b w:val="1"/>
        </w:rPr>
      </w:pPr>
      <w:r w:rsidDel="00000000" w:rsidR="00000000" w:rsidRPr="00000000">
        <w:rPr>
          <w:b w:val="1"/>
          <w:rtl w:val="0"/>
        </w:rPr>
        <w:t xml:space="preserve">Vehicle </w:t>
        <w:tab/>
        <w:tab/>
        <w:t xml:space="preserve">Type Tier One Rates</w:t>
        <w:tab/>
        <w:tab/>
        <w:t xml:space="preserve"> Tier Two Rates</w:t>
      </w:r>
    </w:p>
    <w:p w:rsidR="00000000" w:rsidDel="00000000" w:rsidP="00000000" w:rsidRDefault="00000000" w:rsidRPr="00000000" w14:paraId="0000005C">
      <w:pPr>
        <w:spacing w:before="240" w:lineRule="auto"/>
        <w:jc w:val="left"/>
        <w:rPr/>
      </w:pPr>
      <w:r w:rsidDel="00000000" w:rsidR="00000000" w:rsidRPr="00000000">
        <w:rPr>
          <w:b w:val="1"/>
          <w:rtl w:val="0"/>
        </w:rPr>
        <w:t xml:space="preserve">Petrol </w:t>
        <w:tab/>
        <w:tab/>
        <w:tab/>
      </w:r>
      <w:r w:rsidDel="00000000" w:rsidR="00000000" w:rsidRPr="00000000">
        <w:rPr>
          <w:rtl w:val="0"/>
        </w:rPr>
        <w:t xml:space="preserve">$1.17 </w:t>
        <w:tab/>
        <w:tab/>
        <w:tab/>
        <w:tab/>
        <w:t xml:space="preserve">  $0.37</w:t>
      </w:r>
    </w:p>
    <w:p w:rsidR="00000000" w:rsidDel="00000000" w:rsidP="00000000" w:rsidRDefault="00000000" w:rsidRPr="00000000" w14:paraId="0000005D">
      <w:pPr>
        <w:spacing w:before="240" w:lineRule="auto"/>
        <w:jc w:val="left"/>
        <w:rPr/>
      </w:pPr>
      <w:r w:rsidDel="00000000" w:rsidR="00000000" w:rsidRPr="00000000">
        <w:rPr>
          <w:b w:val="1"/>
          <w:rtl w:val="0"/>
        </w:rPr>
        <w:t xml:space="preserve">Diesel</w:t>
      </w:r>
      <w:r w:rsidDel="00000000" w:rsidR="00000000" w:rsidRPr="00000000">
        <w:rPr>
          <w:rtl w:val="0"/>
        </w:rPr>
        <w:t xml:space="preserve"> </w:t>
        <w:tab/>
        <w:tab/>
        <w:tab/>
        <w:t xml:space="preserve">$1.26</w:t>
        <w:tab/>
        <w:tab/>
        <w:tab/>
        <w:tab/>
        <w:t xml:space="preserve">  $0.35</w:t>
      </w:r>
    </w:p>
    <w:p w:rsidR="00000000" w:rsidDel="00000000" w:rsidP="00000000" w:rsidRDefault="00000000" w:rsidRPr="00000000" w14:paraId="0000005E">
      <w:pPr>
        <w:spacing w:before="240" w:lineRule="auto"/>
        <w:jc w:val="left"/>
        <w:rPr/>
      </w:pPr>
      <w:r w:rsidDel="00000000" w:rsidR="00000000" w:rsidRPr="00000000">
        <w:rPr>
          <w:b w:val="1"/>
          <w:rtl w:val="0"/>
        </w:rPr>
        <w:t xml:space="preserve">Petrol Hybrid </w:t>
        <w:tab/>
        <w:tab/>
      </w:r>
      <w:r w:rsidDel="00000000" w:rsidR="00000000" w:rsidRPr="00000000">
        <w:rPr>
          <w:rtl w:val="0"/>
        </w:rPr>
        <w:t xml:space="preserve">$0.86 </w:t>
        <w:tab/>
        <w:tab/>
        <w:tab/>
        <w:tab/>
        <w:t xml:space="preserve">  $0.21</w:t>
      </w:r>
    </w:p>
    <w:p w:rsidR="00000000" w:rsidDel="00000000" w:rsidP="00000000" w:rsidRDefault="00000000" w:rsidRPr="00000000" w14:paraId="0000005F">
      <w:pPr>
        <w:spacing w:before="240" w:lineRule="auto"/>
        <w:jc w:val="left"/>
        <w:rPr/>
      </w:pPr>
      <w:r w:rsidDel="00000000" w:rsidR="00000000" w:rsidRPr="00000000">
        <w:rPr>
          <w:b w:val="1"/>
          <w:rtl w:val="0"/>
        </w:rPr>
        <w:t xml:space="preserve">Electric</w:t>
      </w:r>
      <w:r w:rsidDel="00000000" w:rsidR="00000000" w:rsidRPr="00000000">
        <w:rPr>
          <w:rtl w:val="0"/>
        </w:rPr>
        <w:t xml:space="preserve"> </w:t>
        <w:tab/>
        <w:tab/>
        <w:t xml:space="preserve">$1.08</w:t>
        <w:tab/>
        <w:tab/>
        <w:tab/>
        <w:tab/>
        <w:t xml:space="preserve">  $0.19</w:t>
      </w:r>
    </w:p>
    <w:p w:rsidR="00000000" w:rsidDel="00000000" w:rsidP="00000000" w:rsidRDefault="00000000" w:rsidRPr="00000000" w14:paraId="00000060">
      <w:pPr>
        <w:spacing w:before="240" w:lineRule="auto"/>
        <w:jc w:val="left"/>
        <w:rPr>
          <w:b w:val="1"/>
        </w:rPr>
      </w:pPr>
      <w:r w:rsidDel="00000000" w:rsidR="00000000" w:rsidRPr="00000000">
        <w:rPr>
          <w:rtl w:val="0"/>
        </w:rPr>
      </w:r>
    </w:p>
    <w:p w:rsidR="00000000" w:rsidDel="00000000" w:rsidP="00000000" w:rsidRDefault="00000000" w:rsidRPr="00000000" w14:paraId="00000061">
      <w:pPr>
        <w:spacing w:before="240" w:lineRule="auto"/>
        <w:jc w:val="left"/>
        <w:rPr/>
      </w:pPr>
      <w:r w:rsidDel="00000000" w:rsidR="00000000" w:rsidRPr="00000000">
        <w:rPr>
          <w:rtl w:val="0"/>
        </w:rPr>
      </w:r>
    </w:p>
    <w:sectPr>
      <w:headerReference r:id="rId8" w:type="default"/>
      <w:headerReference r:id="rId9" w:type="first"/>
      <w:pgSz w:h="16838" w:w="11906" w:orient="portrait"/>
      <w:pgMar w:bottom="1134" w:top="1418"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center"/>
      <w:rPr/>
    </w:pPr>
    <w:r w:rsidDel="00000000" w:rsidR="00000000" w:rsidRPr="00000000">
      <w:rPr/>
      <w:drawing>
        <wp:inline distB="114300" distT="114300" distL="114300" distR="114300">
          <wp:extent cx="3228023" cy="9663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28023" cy="9663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NZ"/>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b w:val="1"/>
      <w:color w:val="000000"/>
    </w:rPr>
  </w:style>
  <w:style w:type="paragraph" w:styleId="Heading2">
    <w:name w:val="heading 2"/>
    <w:basedOn w:val="Normal"/>
    <w:next w:val="Normal"/>
    <w:pPr>
      <w:spacing w:after="240" w:lineRule="auto"/>
      <w:jc w:val="center"/>
    </w:pPr>
    <w:rPr>
      <w:b w:val="1"/>
    </w:rPr>
  </w:style>
  <w:style w:type="paragraph" w:styleId="Heading3">
    <w:name w:val="heading 3"/>
    <w:basedOn w:val="Normal"/>
    <w:next w:val="Normal"/>
    <w:pPr>
      <w:spacing w:after="120" w:before="240" w:lineRule="auto"/>
      <w:jc w:val="left"/>
    </w:pPr>
    <w:rPr>
      <w:b w:val="1"/>
    </w:rPr>
  </w:style>
  <w:style w:type="paragraph" w:styleId="Heading4">
    <w:name w:val="heading 4"/>
    <w:basedOn w:val="Normal"/>
    <w:next w:val="Normal"/>
    <w:pPr>
      <w:keepNext w:val="1"/>
      <w:keepLines w:val="1"/>
      <w:spacing w:before="240" w:lineRule="auto"/>
    </w:pPr>
    <w:rPr>
      <w:i w:val="1"/>
      <w:color w:val="00000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51EF"/>
    <w:pPr>
      <w:spacing w:after="120" w:line="240" w:lineRule="auto"/>
      <w:jc w:val="both"/>
    </w:pPr>
    <w:rPr>
      <w:rFonts w:ascii="Arial" w:cs="Times New Roman" w:eastAsia="Times New Roman" w:hAnsi="Arial"/>
      <w:color w:val="000000"/>
      <w:kern w:val="28"/>
      <w:sz w:val="20"/>
      <w:szCs w:val="20"/>
      <w:lang w:eastAsia="en-NZ"/>
    </w:rPr>
  </w:style>
  <w:style w:type="paragraph" w:styleId="Heading1">
    <w:name w:val="heading 1"/>
    <w:basedOn w:val="Normal"/>
    <w:next w:val="Normal"/>
    <w:link w:val="Heading1Char"/>
    <w:uiPriority w:val="9"/>
    <w:qFormat w:val="1"/>
    <w:rsid w:val="00C77F3C"/>
    <w:pPr>
      <w:jc w:val="center"/>
      <w:outlineLvl w:val="0"/>
    </w:pPr>
    <w:rPr>
      <w:b w:val="1"/>
      <w:color w:val="000000" w:themeColor="text1"/>
    </w:rPr>
  </w:style>
  <w:style w:type="paragraph" w:styleId="Heading2">
    <w:name w:val="heading 2"/>
    <w:basedOn w:val="Normal"/>
    <w:next w:val="Normal"/>
    <w:link w:val="Heading2Char"/>
    <w:uiPriority w:val="9"/>
    <w:unhideWhenUsed w:val="1"/>
    <w:qFormat w:val="1"/>
    <w:rsid w:val="00C77F3C"/>
    <w:pPr>
      <w:spacing w:after="240"/>
      <w:jc w:val="center"/>
      <w:outlineLvl w:val="1"/>
    </w:pPr>
    <w:rPr>
      <w:b w:val="1"/>
    </w:rPr>
  </w:style>
  <w:style w:type="paragraph" w:styleId="Heading3">
    <w:name w:val="heading 3"/>
    <w:basedOn w:val="Heading2"/>
    <w:next w:val="Normal"/>
    <w:link w:val="Heading3Char"/>
    <w:uiPriority w:val="9"/>
    <w:unhideWhenUsed w:val="1"/>
    <w:qFormat w:val="1"/>
    <w:rsid w:val="00CB548F"/>
    <w:pPr>
      <w:spacing w:after="120" w:before="240"/>
      <w:jc w:val="left"/>
      <w:outlineLvl w:val="2"/>
    </w:pPr>
  </w:style>
  <w:style w:type="paragraph" w:styleId="Heading4">
    <w:name w:val="heading 4"/>
    <w:basedOn w:val="Normal"/>
    <w:next w:val="Normal"/>
    <w:link w:val="Heading4Char"/>
    <w:uiPriority w:val="9"/>
    <w:unhideWhenUsed w:val="1"/>
    <w:qFormat w:val="1"/>
    <w:rsid w:val="001671BD"/>
    <w:pPr>
      <w:keepNext w:val="1"/>
      <w:keepLines w:val="1"/>
      <w:spacing w:before="240"/>
      <w:outlineLvl w:val="3"/>
    </w:pPr>
    <w:rPr>
      <w:rFonts w:eastAsiaTheme="majorEastAsia"/>
      <w:bCs w:val="1"/>
      <w:i w:val="1"/>
      <w:iCs w:val="1"/>
      <w:color w:val="000000" w:themeColor="tex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77F3C"/>
    <w:rPr>
      <w:rFonts w:ascii="Arial" w:cs="Arial" w:hAnsi="Arial"/>
      <w:b w:val="1"/>
      <w:color w:val="000000" w:themeColor="text1"/>
      <w:sz w:val="20"/>
      <w:szCs w:val="20"/>
    </w:rPr>
  </w:style>
  <w:style w:type="character" w:styleId="Heading2Char" w:customStyle="1">
    <w:name w:val="Heading 2 Char"/>
    <w:basedOn w:val="DefaultParagraphFont"/>
    <w:link w:val="Heading2"/>
    <w:uiPriority w:val="9"/>
    <w:rsid w:val="00C77F3C"/>
    <w:rPr>
      <w:rFonts w:ascii="Arial" w:cs="Arial" w:hAnsi="Arial"/>
      <w:b w:val="1"/>
      <w:color w:val="000000"/>
      <w:sz w:val="20"/>
      <w:szCs w:val="20"/>
    </w:rPr>
  </w:style>
  <w:style w:type="paragraph" w:styleId="Header">
    <w:name w:val="header"/>
    <w:basedOn w:val="Normal"/>
    <w:link w:val="HeaderChar"/>
    <w:uiPriority w:val="99"/>
    <w:unhideWhenUsed w:val="1"/>
    <w:rsid w:val="0011285A"/>
    <w:pPr>
      <w:tabs>
        <w:tab w:val="center" w:pos="4513"/>
        <w:tab w:val="right" w:pos="9026"/>
      </w:tabs>
      <w:spacing w:after="0"/>
    </w:pPr>
  </w:style>
  <w:style w:type="character" w:styleId="HeaderChar" w:customStyle="1">
    <w:name w:val="Header Char"/>
    <w:basedOn w:val="DefaultParagraphFont"/>
    <w:link w:val="Header"/>
    <w:uiPriority w:val="99"/>
    <w:rsid w:val="0011285A"/>
    <w:rPr>
      <w:rFonts w:ascii="Arial" w:cs="Arial" w:hAnsi="Arial"/>
      <w:color w:val="000000"/>
      <w:sz w:val="20"/>
      <w:szCs w:val="20"/>
    </w:rPr>
  </w:style>
  <w:style w:type="paragraph" w:styleId="Footer">
    <w:name w:val="footer"/>
    <w:basedOn w:val="Normal"/>
    <w:link w:val="FooterChar"/>
    <w:uiPriority w:val="99"/>
    <w:unhideWhenUsed w:val="1"/>
    <w:rsid w:val="0011285A"/>
    <w:pPr>
      <w:tabs>
        <w:tab w:val="center" w:pos="4513"/>
        <w:tab w:val="right" w:pos="9026"/>
      </w:tabs>
      <w:spacing w:after="0"/>
    </w:pPr>
  </w:style>
  <w:style w:type="character" w:styleId="FooterChar" w:customStyle="1">
    <w:name w:val="Footer Char"/>
    <w:basedOn w:val="DefaultParagraphFont"/>
    <w:link w:val="Footer"/>
    <w:uiPriority w:val="99"/>
    <w:rsid w:val="0011285A"/>
    <w:rPr>
      <w:rFonts w:ascii="Arial" w:cs="Arial" w:hAnsi="Arial"/>
      <w:color w:val="000000"/>
      <w:sz w:val="20"/>
      <w:szCs w:val="20"/>
    </w:rPr>
  </w:style>
  <w:style w:type="paragraph" w:styleId="BalloonText">
    <w:name w:val="Balloon Text"/>
    <w:basedOn w:val="Normal"/>
    <w:link w:val="BalloonTextChar"/>
    <w:uiPriority w:val="99"/>
    <w:semiHidden w:val="1"/>
    <w:unhideWhenUsed w:val="1"/>
    <w:rsid w:val="0011285A"/>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1285A"/>
    <w:rPr>
      <w:rFonts w:ascii="Tahoma" w:cs="Tahoma" w:hAnsi="Tahoma"/>
      <w:color w:val="000000"/>
      <w:sz w:val="16"/>
      <w:szCs w:val="16"/>
    </w:rPr>
  </w:style>
  <w:style w:type="paragraph" w:styleId="Paragraph2" w:customStyle="1">
    <w:name w:val="Paragraph 2"/>
    <w:basedOn w:val="Paragraph1"/>
    <w:rsid w:val="00C30C0A"/>
    <w:pPr>
      <w:ind w:firstLine="567"/>
    </w:pPr>
  </w:style>
  <w:style w:type="paragraph" w:styleId="Paragraph1" w:customStyle="1">
    <w:name w:val="Paragraph 1"/>
    <w:basedOn w:val="Normal"/>
    <w:next w:val="Paragraph2"/>
    <w:rsid w:val="00C30C0A"/>
    <w:pPr>
      <w:widowControl w:val="0"/>
      <w:overflowPunct w:val="0"/>
      <w:spacing w:after="0" w:line="360" w:lineRule="auto"/>
    </w:pPr>
    <w:rPr>
      <w:rFonts w:ascii="Times New Roman" w:hAnsi="Times New Roman"/>
      <w:color w:val="auto"/>
      <w:kern w:val="24"/>
      <w:sz w:val="24"/>
      <w:lang w:val="en-GB"/>
    </w:rPr>
  </w:style>
  <w:style w:type="paragraph" w:styleId="NoSpacing">
    <w:name w:val="No Spacing"/>
    <w:uiPriority w:val="1"/>
    <w:qFormat w:val="1"/>
    <w:rsid w:val="00952821"/>
    <w:pPr>
      <w:autoSpaceDE w:val="0"/>
      <w:autoSpaceDN w:val="0"/>
      <w:adjustRightInd w:val="0"/>
      <w:spacing w:after="0" w:line="240" w:lineRule="auto"/>
      <w:jc w:val="both"/>
    </w:pPr>
    <w:rPr>
      <w:rFonts w:ascii="Arial" w:cs="Arial" w:hAnsi="Arial"/>
      <w:color w:val="000000"/>
      <w:sz w:val="20"/>
      <w:szCs w:val="20"/>
    </w:rPr>
  </w:style>
  <w:style w:type="character" w:styleId="Heading3Char" w:customStyle="1">
    <w:name w:val="Heading 3 Char"/>
    <w:basedOn w:val="DefaultParagraphFont"/>
    <w:link w:val="Heading3"/>
    <w:uiPriority w:val="9"/>
    <w:rsid w:val="00CB548F"/>
    <w:rPr>
      <w:rFonts w:ascii="Arial" w:cs="Arial" w:hAnsi="Arial"/>
      <w:b w:val="1"/>
      <w:color w:val="000000"/>
      <w:sz w:val="20"/>
      <w:szCs w:val="20"/>
    </w:rPr>
  </w:style>
  <w:style w:type="paragraph" w:styleId="ServiceHeading3" w:customStyle="1">
    <w:name w:val="Service Heading 3"/>
    <w:basedOn w:val="Normal"/>
    <w:next w:val="Normal"/>
    <w:rsid w:val="006A3678"/>
    <w:pPr>
      <w:spacing w:before="240"/>
      <w:jc w:val="left"/>
      <w:outlineLvl w:val="1"/>
    </w:pPr>
    <w:rPr>
      <w:b w:val="1"/>
      <w:color w:val="auto"/>
      <w:szCs w:val="24"/>
      <w:lang w:val="en-GB"/>
    </w:rPr>
  </w:style>
  <w:style w:type="paragraph" w:styleId="SermonText1" w:customStyle="1">
    <w:name w:val="Sermon Text 1"/>
    <w:basedOn w:val="Normal"/>
    <w:rsid w:val="006A3678"/>
    <w:pPr>
      <w:spacing w:line="360" w:lineRule="auto"/>
    </w:pPr>
    <w:rPr>
      <w:color w:val="auto"/>
      <w:szCs w:val="24"/>
      <w:lang w:val="en-GB"/>
    </w:rPr>
  </w:style>
  <w:style w:type="character" w:styleId="Emphasis">
    <w:name w:val="Emphasis"/>
    <w:basedOn w:val="DefaultParagraphFont"/>
    <w:uiPriority w:val="20"/>
    <w:qFormat w:val="1"/>
    <w:rsid w:val="009C4EB4"/>
    <w:rPr>
      <w:i w:val="1"/>
      <w:iCs w:val="1"/>
    </w:rPr>
  </w:style>
  <w:style w:type="paragraph" w:styleId="NormalWeb">
    <w:name w:val="Normal (Web)"/>
    <w:basedOn w:val="Normal"/>
    <w:uiPriority w:val="99"/>
    <w:unhideWhenUsed w:val="1"/>
    <w:rsid w:val="009C4EB4"/>
    <w:pPr>
      <w:spacing w:after="100" w:afterAutospacing="1" w:before="100" w:beforeAutospacing="1"/>
      <w:jc w:val="left"/>
    </w:pPr>
    <w:rPr>
      <w:rFonts w:ascii="Times New Roman" w:hAnsi="Times New Roman"/>
      <w:color w:val="auto"/>
      <w:sz w:val="24"/>
      <w:szCs w:val="24"/>
    </w:rPr>
  </w:style>
  <w:style w:type="character" w:styleId="Hyperlink">
    <w:name w:val="Hyperlink"/>
    <w:basedOn w:val="DefaultParagraphFont"/>
    <w:uiPriority w:val="99"/>
    <w:unhideWhenUsed w:val="1"/>
    <w:rsid w:val="009C4EB4"/>
    <w:rPr>
      <w:color w:val="0000ff"/>
      <w:u w:val="single"/>
    </w:rPr>
  </w:style>
  <w:style w:type="paragraph" w:styleId="ServiceMainHeading" w:customStyle="1">
    <w:name w:val="Service Main Heading"/>
    <w:basedOn w:val="Normal"/>
    <w:rsid w:val="009D1C84"/>
    <w:pPr>
      <w:spacing w:before="240"/>
      <w:jc w:val="center"/>
      <w:outlineLvl w:val="0"/>
    </w:pPr>
    <w:rPr>
      <w:b w:val="1"/>
      <w:caps w:val="1"/>
      <w:color w:val="auto"/>
      <w:szCs w:val="24"/>
      <w:lang w:val="en-GB"/>
    </w:rPr>
  </w:style>
  <w:style w:type="paragraph" w:styleId="ListParagraph">
    <w:name w:val="List Paragraph"/>
    <w:basedOn w:val="Normal"/>
    <w:uiPriority w:val="34"/>
    <w:qFormat w:val="1"/>
    <w:rsid w:val="00245044"/>
    <w:pPr>
      <w:ind w:left="720"/>
      <w:contextualSpacing w:val="1"/>
    </w:pPr>
  </w:style>
  <w:style w:type="character" w:styleId="Heading4Char" w:customStyle="1">
    <w:name w:val="Heading 4 Char"/>
    <w:basedOn w:val="DefaultParagraphFont"/>
    <w:link w:val="Heading4"/>
    <w:uiPriority w:val="9"/>
    <w:rsid w:val="001671BD"/>
    <w:rPr>
      <w:rFonts w:ascii="Arial" w:cs="Arial" w:hAnsi="Arial" w:eastAsiaTheme="majorEastAsia"/>
      <w:bCs w:val="1"/>
      <w:i w:val="1"/>
      <w:iCs w:val="1"/>
      <w:color w:val="000000" w:themeColor="text1"/>
      <w:sz w:val="20"/>
      <w:szCs w:val="20"/>
    </w:rPr>
  </w:style>
  <w:style w:type="table" w:styleId="TableGrid">
    <w:name w:val="Table Grid"/>
    <w:basedOn w:val="TableNormal"/>
    <w:uiPriority w:val="59"/>
    <w:rsid w:val="00A67C2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resbyterian.org.nz/sites/default/files/for_parishes/Church%20Management%20Support%20Guide%20Version%208.0.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HdN58Du4eW1uKWPAOZLzAp9RQ==">CgMxLjA4AHIhMWRHUkJMMlZVSXZURDVXZzNXOVBDRkE4aEN1ZlUxdmJ4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2023-08-02T02:21:00Z</dcterms:created>
  <dc:creator>Ron Mills</dc:creator>
</cp:coreProperties>
</file>